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F913E" w14:textId="77777777" w:rsidR="00FC2304" w:rsidRDefault="00FC2304" w:rsidP="00BF05A8">
      <w:pPr>
        <w:pStyle w:val="Heading1"/>
      </w:pPr>
      <w:r w:rsidRPr="00FC2304">
        <w:t>Regional Geology of the Bight Basin</w:t>
      </w:r>
    </w:p>
    <w:p w14:paraId="4A64F9EB" w14:textId="13D25A0B" w:rsidR="00420ED1" w:rsidRPr="00C646CA" w:rsidRDefault="00FC2304" w:rsidP="00FC2304">
      <w:pPr>
        <w:pStyle w:val="BodyText"/>
      </w:pPr>
      <w:r w:rsidRPr="00FC2304">
        <w:t xml:space="preserve">The Bight Basin formed during the break-up of eastern </w:t>
      </w:r>
      <w:proofErr w:type="spellStart"/>
      <w:r w:rsidRPr="00FC2304">
        <w:t>Gondwana</w:t>
      </w:r>
      <w:proofErr w:type="spellEnd"/>
      <w:r w:rsidRPr="00FC2304">
        <w:t xml:space="preserve"> in the Late Jurassic–Early Cretaceous. It extends for ~2000 km along the Australian southern margin</w:t>
      </w:r>
      <w:r w:rsidR="00C71AE5">
        <w:t xml:space="preserve"> (</w:t>
      </w:r>
      <w:r w:rsidR="00C71AE5" w:rsidRPr="00C71AE5">
        <w:rPr>
          <w:b/>
        </w:rPr>
        <w:t>Figure</w:t>
      </w:r>
      <w:r w:rsidR="005F14DB">
        <w:rPr>
          <w:b/>
        </w:rPr>
        <w:t> </w:t>
      </w:r>
      <w:r w:rsidR="00C71AE5" w:rsidRPr="00C71AE5">
        <w:rPr>
          <w:b/>
        </w:rPr>
        <w:t>1</w:t>
      </w:r>
      <w:r w:rsidR="00C71AE5">
        <w:t>)</w:t>
      </w:r>
      <w:r w:rsidRPr="00FC2304">
        <w:t xml:space="preserve"> and comprises a series of extensional depocentres. No significant hydrocarbons have been found</w:t>
      </w:r>
      <w:r w:rsidR="00261AF5">
        <w:t xml:space="preserve"> in the basin, which remains Australia’s largest </w:t>
      </w:r>
      <w:r w:rsidRPr="00FC2304">
        <w:t>exploration frontier. Renewed exploration activity is currently focused on the Ceduna Sub-basin in the eastern Bight Basin, which hosts a large deltaic system in which oil-prone source rocks have been identified.</w:t>
      </w:r>
    </w:p>
    <w:p w14:paraId="1ED496C6" w14:textId="77777777" w:rsidR="007C5141" w:rsidRPr="00002FA2" w:rsidRDefault="00420ED1" w:rsidP="007C5141">
      <w:pPr>
        <w:pStyle w:val="Heading2"/>
      </w:pPr>
      <w:r w:rsidRPr="00420ED1">
        <w:t>Basin outline</w:t>
      </w:r>
    </w:p>
    <w:p w14:paraId="6AB8EE35" w14:textId="6ECDB9EB" w:rsidR="00FC2304" w:rsidRPr="00FC2304" w:rsidRDefault="00FC2304" w:rsidP="00FC2304">
      <w:pPr>
        <w:pStyle w:val="BodyText"/>
      </w:pPr>
      <w:r w:rsidRPr="00FC2304">
        <w:t>The Bight Basin is situated on the western and central continental margin of southern Australia and extends from south of Cape Leeuwin in the west, to south of Kangaroo Island in the east, where it adjoins the Otway Basin (</w:t>
      </w:r>
      <w:r w:rsidRPr="00C71AE5">
        <w:rPr>
          <w:b/>
        </w:rPr>
        <w:t>Figure</w:t>
      </w:r>
      <w:r w:rsidR="005F14DB">
        <w:rPr>
          <w:b/>
        </w:rPr>
        <w:t> </w:t>
      </w:r>
      <w:r w:rsidR="00C71AE5">
        <w:rPr>
          <w:b/>
        </w:rPr>
        <w:t>1</w:t>
      </w:r>
      <w:r w:rsidRPr="00FC2304">
        <w:t xml:space="preserve">). The basin developed during the break-up of eastern </w:t>
      </w:r>
      <w:proofErr w:type="spellStart"/>
      <w:r w:rsidRPr="00FC2304">
        <w:t>Gondwana</w:t>
      </w:r>
      <w:proofErr w:type="spellEnd"/>
      <w:r w:rsidRPr="00FC2304">
        <w:t xml:space="preserve"> in the Jurassic and Cretaceous. Today, water depths vary from less than </w:t>
      </w:r>
      <w:r w:rsidR="00132062" w:rsidRPr="00FC2304">
        <w:t>200</w:t>
      </w:r>
      <w:r w:rsidR="00132062">
        <w:t> </w:t>
      </w:r>
      <w:r w:rsidRPr="00FC2304">
        <w:t xml:space="preserve">m on the shelf to over </w:t>
      </w:r>
      <w:r w:rsidR="00132062" w:rsidRPr="00FC2304">
        <w:t>4000</w:t>
      </w:r>
      <w:r w:rsidR="00132062">
        <w:t> </w:t>
      </w:r>
      <w:r w:rsidRPr="00FC2304">
        <w:t xml:space="preserve">m in the distant offshore. </w:t>
      </w:r>
    </w:p>
    <w:p w14:paraId="136142E1" w14:textId="7C6551FC" w:rsidR="00FC2304" w:rsidRDefault="00FC2304" w:rsidP="00FC2304">
      <w:pPr>
        <w:pStyle w:val="BodyText"/>
        <w:rPr>
          <w:b/>
          <w:iCs/>
        </w:rPr>
      </w:pPr>
      <w:r w:rsidRPr="00FC2304">
        <w:t>The Bight Basin contains five main depocentres—the Ceduna, Duntroon, Eyre, Bremer an</w:t>
      </w:r>
      <w:r w:rsidR="00C71AE5">
        <w:t>d Recherche sub-basins (</w:t>
      </w:r>
      <w:r w:rsidR="00C71AE5" w:rsidRPr="00C71AE5">
        <w:rPr>
          <w:b/>
        </w:rPr>
        <w:t>Figure</w:t>
      </w:r>
      <w:r w:rsidR="005F14DB">
        <w:rPr>
          <w:b/>
        </w:rPr>
        <w:t> </w:t>
      </w:r>
      <w:r w:rsidR="00E53B3D">
        <w:rPr>
          <w:b/>
        </w:rPr>
        <w:t>2</w:t>
      </w:r>
      <w:r w:rsidRPr="00FC2304">
        <w:t xml:space="preserve">). The largest depocentre is the Ceduna Sub-basin, which covers approximately </w:t>
      </w:r>
      <w:r w:rsidR="00132062" w:rsidRPr="00FC2304">
        <w:t>126</w:t>
      </w:r>
      <w:r w:rsidR="00132062">
        <w:t> </w:t>
      </w:r>
      <w:r w:rsidRPr="00FC2304">
        <w:t>300</w:t>
      </w:r>
      <w:r w:rsidR="00132062">
        <w:t> </w:t>
      </w:r>
      <w:r w:rsidRPr="00FC2304">
        <w:t>km</w:t>
      </w:r>
      <w:r w:rsidRPr="0090672C">
        <w:rPr>
          <w:vertAlign w:val="superscript"/>
        </w:rPr>
        <w:t>2</w:t>
      </w:r>
      <w:r w:rsidRPr="00FC2304">
        <w:t xml:space="preserve"> and contains a Jurassic-Upper Cretaceous succession over </w:t>
      </w:r>
      <w:r w:rsidR="00132062" w:rsidRPr="00FC2304">
        <w:t>15</w:t>
      </w:r>
      <w:r w:rsidR="00132062">
        <w:t> </w:t>
      </w:r>
      <w:r w:rsidRPr="00FC2304">
        <w:t xml:space="preserve">km thick. To the north and east of the main depocentres, a thin Bight Basin succession overlies Proterozoic basement (including the Gawler Craton and Albany-Fraser </w:t>
      </w:r>
      <w:proofErr w:type="spellStart"/>
      <w:r w:rsidRPr="00FC2304">
        <w:t>Orogen</w:t>
      </w:r>
      <w:proofErr w:type="spellEnd"/>
      <w:r w:rsidRPr="00FC2304">
        <w:t>) and deformed Proterozoic–lower Paleozoic rocks of the Adelaide Fold and Thrust Belt</w:t>
      </w:r>
      <w:r w:rsidR="00C71AE5">
        <w:t xml:space="preserve"> (</w:t>
      </w:r>
      <w:r w:rsidR="00C71AE5" w:rsidRPr="00C71AE5">
        <w:rPr>
          <w:b/>
        </w:rPr>
        <w:t>Figure</w:t>
      </w:r>
      <w:r w:rsidR="005F14DB">
        <w:rPr>
          <w:b/>
        </w:rPr>
        <w:t> </w:t>
      </w:r>
      <w:r w:rsidR="00E53B3D">
        <w:rPr>
          <w:b/>
        </w:rPr>
        <w:t>3</w:t>
      </w:r>
      <w:r w:rsidR="00C71AE5">
        <w:t>)</w:t>
      </w:r>
      <w:r w:rsidRPr="00FC2304">
        <w:t xml:space="preserve">. To the south, the uppermost sequences of the Bight Basin </w:t>
      </w:r>
      <w:proofErr w:type="spellStart"/>
      <w:r w:rsidRPr="00FC2304">
        <w:t>onlap</w:t>
      </w:r>
      <w:proofErr w:type="spellEnd"/>
      <w:r w:rsidRPr="00FC2304">
        <w:t xml:space="preserve"> highly extended continental crust and rocks of the continent–ocean transition on the abyssal plain between Australia and Antarctica (Sayers et al, 2001). Basement trends have had a profound influence on the structural development of the Bight Basin and controlled the location and orientation of early basin-forming structures (Stagg et al, 1990; </w:t>
      </w:r>
      <w:proofErr w:type="spellStart"/>
      <w:r w:rsidRPr="00FC2304">
        <w:t>Totterdell</w:t>
      </w:r>
      <w:proofErr w:type="spellEnd"/>
      <w:r w:rsidRPr="00FC2304">
        <w:t xml:space="preserve"> et al, 2000; Teasdale et al, 2003; </w:t>
      </w:r>
      <w:proofErr w:type="spellStart"/>
      <w:r w:rsidRPr="00FC2304">
        <w:t>Totterdell</w:t>
      </w:r>
      <w:proofErr w:type="spellEnd"/>
      <w:r w:rsidRPr="00FC2304">
        <w:t xml:space="preserve"> and Bradshaw, 2004). The Bight Basin is overlain unconformably by the dominantly cool water carbonates of the </w:t>
      </w:r>
      <w:proofErr w:type="spellStart"/>
      <w:r w:rsidRPr="00FC2304">
        <w:t>Cenozoic</w:t>
      </w:r>
      <w:proofErr w:type="spellEnd"/>
      <w:r w:rsidRPr="00FC2304">
        <w:t xml:space="preserve"> Eucla Basin.</w:t>
      </w:r>
    </w:p>
    <w:p w14:paraId="5E97E5BA" w14:textId="3F4DD4AF" w:rsidR="00420ED1" w:rsidRDefault="00FC2304" w:rsidP="00FC2304">
      <w:pPr>
        <w:pStyle w:val="Heading2"/>
      </w:pPr>
      <w:r w:rsidRPr="00FC2304">
        <w:t>Basin evolution and tectonic development</w:t>
      </w:r>
    </w:p>
    <w:p w14:paraId="045501B7" w14:textId="10DFFFFC" w:rsidR="00420ED1" w:rsidRDefault="00FC2304" w:rsidP="00C646CA">
      <w:pPr>
        <w:pStyle w:val="BodyText"/>
      </w:pPr>
      <w:r w:rsidRPr="00FC2304">
        <w:t xml:space="preserve">The Bight Basin is one of a series of Mesozoic to </w:t>
      </w:r>
      <w:proofErr w:type="spellStart"/>
      <w:r w:rsidRPr="00FC2304">
        <w:t>Cenozoic</w:t>
      </w:r>
      <w:proofErr w:type="spellEnd"/>
      <w:r w:rsidRPr="00FC2304">
        <w:t xml:space="preserve"> depocentres that developed along Australia’s southern margin during the breakup of eastern </w:t>
      </w:r>
      <w:proofErr w:type="spellStart"/>
      <w:r w:rsidRPr="00FC2304">
        <w:t>Gondwana</w:t>
      </w:r>
      <w:proofErr w:type="spellEnd"/>
      <w:r w:rsidRPr="00FC2304">
        <w:t xml:space="preserve"> (Fraser and Tilbury, 1979; </w:t>
      </w:r>
      <w:proofErr w:type="spellStart"/>
      <w:r w:rsidRPr="00FC2304">
        <w:t>Bein</w:t>
      </w:r>
      <w:proofErr w:type="spellEnd"/>
      <w:r w:rsidRPr="00FC2304">
        <w:t xml:space="preserve"> and Taylor, 1981; </w:t>
      </w:r>
      <w:proofErr w:type="spellStart"/>
      <w:r w:rsidRPr="00FC2304">
        <w:t>Willcox</w:t>
      </w:r>
      <w:proofErr w:type="spellEnd"/>
      <w:r w:rsidRPr="00FC2304">
        <w:t xml:space="preserve"> and Stagg, 1990; Stagg et al, 1990; Hill, 1995; </w:t>
      </w:r>
      <w:proofErr w:type="spellStart"/>
      <w:r w:rsidRPr="00FC2304">
        <w:t>Totterdell</w:t>
      </w:r>
      <w:proofErr w:type="spellEnd"/>
      <w:r w:rsidRPr="00FC2304">
        <w:t xml:space="preserve"> et al, 2000; </w:t>
      </w:r>
      <w:proofErr w:type="spellStart"/>
      <w:r w:rsidRPr="00FC2304">
        <w:t>Norvick</w:t>
      </w:r>
      <w:proofErr w:type="spellEnd"/>
      <w:r w:rsidRPr="00FC2304">
        <w:t xml:space="preserve"> and Smith, 2001; Teasdale et al, 2003; </w:t>
      </w:r>
      <w:proofErr w:type="spellStart"/>
      <w:r w:rsidRPr="00FC2304">
        <w:t>Totterdell</w:t>
      </w:r>
      <w:proofErr w:type="spellEnd"/>
      <w:r w:rsidRPr="00FC2304">
        <w:t xml:space="preserve"> and Bradshaw, 2004). The basin evolved through repeated episodes of extension and thermal subsidence leading up to, and following, the commencement of sea-floor spreading between Australia and Antarctica (</w:t>
      </w:r>
      <w:proofErr w:type="spellStart"/>
      <w:r w:rsidRPr="00FC2304">
        <w:t>Totterdell</w:t>
      </w:r>
      <w:proofErr w:type="spellEnd"/>
      <w:r w:rsidRPr="00FC2304">
        <w:t xml:space="preserve"> and Bradshaw, 2004). The tectonostratigraphic development of the basin can be described in terms of four basin phases that reflect those different tectonic drivers (</w:t>
      </w:r>
      <w:r w:rsidR="001E7298" w:rsidRPr="001E7298">
        <w:rPr>
          <w:b/>
        </w:rPr>
        <w:t>Figure </w:t>
      </w:r>
      <w:r w:rsidR="00E53B3D">
        <w:rPr>
          <w:b/>
        </w:rPr>
        <w:t>4</w:t>
      </w:r>
      <w:proofErr w:type="gramStart"/>
      <w:r w:rsidR="001E7298">
        <w:t>;</w:t>
      </w:r>
      <w:r w:rsidRPr="00FC2304">
        <w:t>Totterdell</w:t>
      </w:r>
      <w:proofErr w:type="gramEnd"/>
      <w:r w:rsidRPr="00FC2304">
        <w:t xml:space="preserve"> et al, 2000).</w:t>
      </w:r>
    </w:p>
    <w:p w14:paraId="4C2F8798" w14:textId="05223DA5" w:rsidR="00420ED1" w:rsidRDefault="00FC2304" w:rsidP="00C646CA">
      <w:pPr>
        <w:pStyle w:val="Heading4"/>
      </w:pPr>
      <w:r w:rsidRPr="00FC2304">
        <w:t>Middle Jurassic–Lower Cretaceous extension and post-rift subsidence</w:t>
      </w:r>
    </w:p>
    <w:p w14:paraId="67E248D2" w14:textId="27A434CA" w:rsidR="00FC2304" w:rsidRPr="002F2898" w:rsidRDefault="00FC2304" w:rsidP="00FC2304">
      <w:pPr>
        <w:pStyle w:val="BodyText"/>
      </w:pPr>
      <w:r w:rsidRPr="002F2898">
        <w:t>The Bight Basin was initiated during a period of Middle–Late Jurassic to Early Cretaceous upper crustal extension. At that time, a convergent margin existed on the eastern side of the continent and incipient rifts were developing between Australia and Antarctica, India and Antarctica, and India and Western Australia, the three extensional systems forming a triple junction (</w:t>
      </w:r>
      <w:proofErr w:type="spellStart"/>
      <w:r w:rsidRPr="002F2898">
        <w:t>Norvick</w:t>
      </w:r>
      <w:proofErr w:type="spellEnd"/>
      <w:r w:rsidRPr="002F2898">
        <w:t xml:space="preserve"> and Smith, 2001). Rifting along this system eventually resulted in sea-floor spreading between India and Australia/Antarctica, but the rift along the southern margin failed at that time. I</w:t>
      </w:r>
      <w:r w:rsidR="00E94017">
        <w:t>n the Bight Basin, a northwest–</w:t>
      </w:r>
      <w:r w:rsidRPr="002F2898">
        <w:t xml:space="preserve">southeast to north-northwest–south-southeast extension direction, superimposed on east–west and northwest–southeast-oriented basement structures, resulted in oblique to strongly oblique extension and the formation of </w:t>
      </w:r>
      <w:proofErr w:type="spellStart"/>
      <w:r w:rsidRPr="002F2898">
        <w:t>en</w:t>
      </w:r>
      <w:proofErr w:type="spellEnd"/>
      <w:r w:rsidRPr="002F2898">
        <w:t xml:space="preserve">-echelon half </w:t>
      </w:r>
      <w:proofErr w:type="spellStart"/>
      <w:r w:rsidRPr="002F2898">
        <w:t>graben</w:t>
      </w:r>
      <w:proofErr w:type="spellEnd"/>
      <w:r w:rsidRPr="002F2898">
        <w:t xml:space="preserve"> in the </w:t>
      </w:r>
      <w:r w:rsidRPr="002F2898">
        <w:lastRenderedPageBreak/>
        <w:t>Bremer, Eyre, inner Recherche, Ceduna and Duntroon sub-basins</w:t>
      </w:r>
      <w:r w:rsidR="005D7B56">
        <w:t xml:space="preserve"> (</w:t>
      </w:r>
      <w:r w:rsidR="005D7B56" w:rsidRPr="005D7B56">
        <w:rPr>
          <w:b/>
        </w:rPr>
        <w:t>Figure </w:t>
      </w:r>
      <w:r w:rsidR="00E53B3D">
        <w:rPr>
          <w:b/>
        </w:rPr>
        <w:t>5</w:t>
      </w:r>
      <w:r w:rsidR="005D7B56" w:rsidRPr="005D7B56">
        <w:t xml:space="preserve">, </w:t>
      </w:r>
      <w:r w:rsidR="005D7B56" w:rsidRPr="005D7B56">
        <w:rPr>
          <w:b/>
        </w:rPr>
        <w:t>Figure </w:t>
      </w:r>
      <w:r w:rsidR="00E53B3D">
        <w:rPr>
          <w:b/>
        </w:rPr>
        <w:t>6</w:t>
      </w:r>
      <w:r w:rsidR="005D7B56" w:rsidRPr="005D7B56">
        <w:t xml:space="preserve">, </w:t>
      </w:r>
      <w:r w:rsidR="005D7B56" w:rsidRPr="005D7B56">
        <w:rPr>
          <w:b/>
        </w:rPr>
        <w:t>Figure </w:t>
      </w:r>
      <w:r w:rsidR="00E53B3D">
        <w:rPr>
          <w:b/>
        </w:rPr>
        <w:t>7</w:t>
      </w:r>
      <w:r w:rsidR="005D7B56" w:rsidRPr="005D7B56">
        <w:t xml:space="preserve">, </w:t>
      </w:r>
      <w:r w:rsidR="005D7B56" w:rsidRPr="005D7B56">
        <w:rPr>
          <w:b/>
        </w:rPr>
        <w:t>Figure </w:t>
      </w:r>
      <w:r w:rsidR="00E53B3D">
        <w:rPr>
          <w:b/>
        </w:rPr>
        <w:t>8</w:t>
      </w:r>
      <w:r w:rsidR="005D7B56">
        <w:t>)</w:t>
      </w:r>
      <w:r w:rsidRPr="002F2898">
        <w:t>. The full areal extent of the early extensional structures beneath the Ceduna Sub-basin has not been imaged on seismic data due to the thickness and nature of the overlying sedimentary section. The thickness of the sub-basin may indicate, however, that Jurassic–Early Cretaceous rifts are present at depth.</w:t>
      </w:r>
    </w:p>
    <w:p w14:paraId="6F109540" w14:textId="77777777" w:rsidR="00FC2304" w:rsidRPr="002F2898" w:rsidRDefault="00FC2304" w:rsidP="00FC2304">
      <w:pPr>
        <w:pStyle w:val="BodyText"/>
      </w:pPr>
      <w:r w:rsidRPr="002F2898">
        <w:t>The Early Cretaceous was characterised by post-rift thermal subsidence in the Bight Basin. Deposition during the initial extensional phase and the subsequent period of thermal subsidence was largely dominated by non-marine sediments, with evidence for some late marine influence in this phase recorded in wells located on the inboard margins of the basin. Continental breakup along the southern part of the western margin commenced in the Early Cretaceous, so by the mid-Cretaceous, an open ocean lay to the west and a seaway was beginning to develop along the southern margin towards the eastern Bight Basin.</w:t>
      </w:r>
    </w:p>
    <w:p w14:paraId="6A3AA6D8" w14:textId="77777777" w:rsidR="00FC2304" w:rsidRPr="009532BD" w:rsidRDefault="00FC2304" w:rsidP="00FC2304">
      <w:pPr>
        <w:pStyle w:val="Heading4"/>
      </w:pPr>
      <w:r w:rsidRPr="009532BD">
        <w:t>Mid-Cretaceous accelerated subsidence</w:t>
      </w:r>
    </w:p>
    <w:p w14:paraId="671F8A34" w14:textId="33DD3AB5" w:rsidR="00FC2304" w:rsidRPr="002F2898" w:rsidRDefault="00FC2304" w:rsidP="00FC2304">
      <w:pPr>
        <w:pStyle w:val="BodyText"/>
      </w:pPr>
      <w:r w:rsidRPr="002F2898">
        <w:t>An abrupt increase in subsidence rate in the mid-</w:t>
      </w:r>
      <w:proofErr w:type="spellStart"/>
      <w:r w:rsidRPr="002F2898">
        <w:t>Albian</w:t>
      </w:r>
      <w:proofErr w:type="spellEnd"/>
      <w:r w:rsidRPr="002F2898">
        <w:t xml:space="preserve"> (</w:t>
      </w:r>
      <w:proofErr w:type="spellStart"/>
      <w:r w:rsidRPr="002F2898">
        <w:t>Totterdell</w:t>
      </w:r>
      <w:proofErr w:type="spellEnd"/>
      <w:r w:rsidRPr="002F2898">
        <w:t xml:space="preserve"> et al, 2000; </w:t>
      </w:r>
      <w:proofErr w:type="spellStart"/>
      <w:r w:rsidRPr="002F2898">
        <w:t>Totterdell</w:t>
      </w:r>
      <w:proofErr w:type="spellEnd"/>
      <w:r w:rsidRPr="002F2898">
        <w:t xml:space="preserve"> and Bradshaw, 2004) signalled the onset of the third phase of basin development. This period of accelerated subsidence, which continued until the commencement of sea-floor spreading between Australia and Antarctica in the late Santonian, coincided with a period of rising global sea level. This combination of factors resulted in a rapid increase in accommodation, the first major marine flooding event in the basin and the widespread deposition of marine silts and shales of the </w:t>
      </w:r>
      <w:proofErr w:type="spellStart"/>
      <w:r w:rsidRPr="002F2898">
        <w:t>Albian</w:t>
      </w:r>
      <w:proofErr w:type="spellEnd"/>
      <w:r w:rsidRPr="002F2898">
        <w:t>–Cenomanian Blue Whale Supersequence</w:t>
      </w:r>
      <w:r>
        <w:t xml:space="preserve"> (</w:t>
      </w:r>
      <w:r w:rsidRPr="001E7298">
        <w:rPr>
          <w:b/>
        </w:rPr>
        <w:t>Figure </w:t>
      </w:r>
      <w:r w:rsidR="00E53B3D">
        <w:rPr>
          <w:b/>
        </w:rPr>
        <w:t>4</w:t>
      </w:r>
      <w:r>
        <w:t>)</w:t>
      </w:r>
      <w:r w:rsidRPr="002F2898">
        <w:t xml:space="preserve">. Progradation of the deltaic sediments of the White Pointer Supersequence into a narrow seaway commenced in the Cenomanian. High rates of deposition resulted in a short-lived period of shale mobilisation and growth faulting throughout the northern half </w:t>
      </w:r>
      <w:r>
        <w:t>of the Ceduna Sub-basin (</w:t>
      </w:r>
      <w:r w:rsidRPr="001E7298">
        <w:rPr>
          <w:b/>
        </w:rPr>
        <w:t>Figure </w:t>
      </w:r>
      <w:r w:rsidR="00E53B3D">
        <w:rPr>
          <w:b/>
        </w:rPr>
        <w:t>5</w:t>
      </w:r>
      <w:r w:rsidRPr="002F2898">
        <w:t xml:space="preserve">; </w:t>
      </w:r>
      <w:proofErr w:type="spellStart"/>
      <w:r w:rsidRPr="002F2898">
        <w:t>Totterdell</w:t>
      </w:r>
      <w:proofErr w:type="spellEnd"/>
      <w:r w:rsidRPr="002F2898">
        <w:t xml:space="preserve"> and </w:t>
      </w:r>
      <w:proofErr w:type="spellStart"/>
      <w:r w:rsidRPr="002F2898">
        <w:t>Krassay</w:t>
      </w:r>
      <w:proofErr w:type="spellEnd"/>
      <w:r w:rsidRPr="002F2898">
        <w:t>, 2003a). The Cenomanian deltaic facies include a broad band of coaly sediments in the inner part of the Ceduna Sub-basin. The White Pointer Supersequence is overlain by the marginal marine, deltaic and open marine sediments of the Turonian–Santonian Tiger Supersequence. The Tiger Supersequence thickens markedly to the south reflecting a shift in the locus of deltaic deposition during this time (MacDonald et al, 2013).</w:t>
      </w:r>
    </w:p>
    <w:p w14:paraId="4005CFA5" w14:textId="77777777" w:rsidR="00FC2304" w:rsidRPr="009532BD" w:rsidRDefault="00FC2304" w:rsidP="00FC2304">
      <w:pPr>
        <w:pStyle w:val="Heading4"/>
      </w:pPr>
      <w:r w:rsidRPr="002F2898">
        <w:t>Australian</w:t>
      </w:r>
      <w:r w:rsidRPr="009532BD">
        <w:t>–Antarctic sea-floor spreading and post-breakup subsidence</w:t>
      </w:r>
    </w:p>
    <w:p w14:paraId="39FBD637" w14:textId="0E7E892A" w:rsidR="00FC2304" w:rsidRPr="002F2898" w:rsidRDefault="00FC2304" w:rsidP="00FC2304">
      <w:pPr>
        <w:pStyle w:val="BodyText"/>
      </w:pPr>
      <w:r w:rsidRPr="002F2898">
        <w:t xml:space="preserve">The commencement of ultra-slow to very slow sea-floor spreading in the latest Santonian was followed by a period of thermal subsidence and the establishment of the southern Australian passive margin. In the Eyre, Duntroon and Bremer sub-basins, a period of structural deformation coinciding with the commencement of break-up resulted in inversion, uplift and erosion of much of the </w:t>
      </w:r>
      <w:r>
        <w:t>Upper</w:t>
      </w:r>
      <w:r w:rsidRPr="002F2898">
        <w:t xml:space="preserve"> Cretaceous succession (</w:t>
      </w:r>
      <w:proofErr w:type="spellStart"/>
      <w:r w:rsidRPr="002F2898">
        <w:t>Totterdell</w:t>
      </w:r>
      <w:proofErr w:type="spellEnd"/>
      <w:r w:rsidRPr="002F2898">
        <w:t xml:space="preserve"> et al, 2014). In the Ceduna and Duntroon </w:t>
      </w:r>
      <w:r>
        <w:t>s</w:t>
      </w:r>
      <w:r w:rsidRPr="002F2898">
        <w:t>ub-basins, the passive margin phase of basin development is represented by the latest Santonian–Maastrichtian Hammerhead Supersequence, a sand-rich deltaic system characterised by strongly progra</w:t>
      </w:r>
      <w:r>
        <w:t>ding stratal geometries (</w:t>
      </w:r>
      <w:r w:rsidRPr="001E7298">
        <w:rPr>
          <w:b/>
        </w:rPr>
        <w:t>Figure </w:t>
      </w:r>
      <w:r w:rsidR="00E53B3D">
        <w:rPr>
          <w:b/>
        </w:rPr>
        <w:t>5</w:t>
      </w:r>
      <w:r w:rsidRPr="002F2898">
        <w:t xml:space="preserve">; </w:t>
      </w:r>
      <w:proofErr w:type="spellStart"/>
      <w:r w:rsidRPr="002F2898">
        <w:t>Krassay</w:t>
      </w:r>
      <w:proofErr w:type="spellEnd"/>
      <w:r w:rsidRPr="002F2898">
        <w:t xml:space="preserve"> and </w:t>
      </w:r>
      <w:proofErr w:type="spellStart"/>
      <w:r w:rsidRPr="002F2898">
        <w:t>Totterdell</w:t>
      </w:r>
      <w:proofErr w:type="spellEnd"/>
      <w:r w:rsidRPr="002F2898">
        <w:t xml:space="preserve">, 2003; King and </w:t>
      </w:r>
      <w:proofErr w:type="spellStart"/>
      <w:r w:rsidRPr="002F2898">
        <w:t>Mee</w:t>
      </w:r>
      <w:proofErr w:type="spellEnd"/>
      <w:r w:rsidRPr="002F2898">
        <w:t xml:space="preserve">, 2004). Because of the slow rate of sea-floor spreading, the seaway into which the deltas </w:t>
      </w:r>
      <w:proofErr w:type="spellStart"/>
      <w:r w:rsidRPr="002F2898">
        <w:t>prograded</w:t>
      </w:r>
      <w:proofErr w:type="spellEnd"/>
      <w:r w:rsidRPr="002F2898">
        <w:t xml:space="preserve"> would have been relatively narrow. A dramatic reduction in sediment supply at the end of the Cretaceous saw the cessation of deltaic deposition. Regional uplift resulted in the erosion of the Hammerhead Supersequence and much of the underlying Tiger Supersequence from the Eyre Sub-basin and the progressive erosion of the Cretaceous section across the Madura Shelf.</w:t>
      </w:r>
    </w:p>
    <w:p w14:paraId="34C6BF41" w14:textId="3813D112" w:rsidR="00CF78C4" w:rsidRPr="00002FA2" w:rsidRDefault="00FC2304" w:rsidP="006333A8">
      <w:pPr>
        <w:pStyle w:val="BodyText"/>
      </w:pPr>
      <w:r w:rsidRPr="002F2898">
        <w:t xml:space="preserve">From the late </w:t>
      </w:r>
      <w:proofErr w:type="spellStart"/>
      <w:r w:rsidRPr="002F2898">
        <w:t>Paleocene</w:t>
      </w:r>
      <w:proofErr w:type="spellEnd"/>
      <w:r w:rsidRPr="002F2898">
        <w:t xml:space="preserve"> to the present, the largely cool-water carbonates of the Eucla Basin accumulated on a sediment-starved passive margin. In the middle Eocene (around 45</w:t>
      </w:r>
      <w:r>
        <w:t> </w:t>
      </w:r>
      <w:r w:rsidRPr="002F2898">
        <w:t>Ma) there was a dramatic increase in the rate of seafloor spreading (</w:t>
      </w:r>
      <w:proofErr w:type="spellStart"/>
      <w:r w:rsidRPr="002F2898">
        <w:t>Tikku</w:t>
      </w:r>
      <w:proofErr w:type="spellEnd"/>
      <w:r w:rsidRPr="002F2898">
        <w:t xml:space="preserve"> and </w:t>
      </w:r>
      <w:proofErr w:type="spellStart"/>
      <w:r w:rsidRPr="002F2898">
        <w:t>Cande</w:t>
      </w:r>
      <w:proofErr w:type="spellEnd"/>
      <w:r w:rsidRPr="002F2898">
        <w:t xml:space="preserve">, 1999), which resulted in widespread subsidence of the margin. A short phase of magmatism coincided with the onset of rapid spreading. This magmatic phase was characterised by both extrusive volcanism (volcanoes, flows, volcanic build-ups) and the intrusion of sills, dykes and deeper igneous bodies in the central Ceduna Sub-basin (Schofield &amp; </w:t>
      </w:r>
      <w:proofErr w:type="spellStart"/>
      <w:r w:rsidRPr="002F2898">
        <w:t>Totterdell</w:t>
      </w:r>
      <w:proofErr w:type="spellEnd"/>
      <w:r w:rsidRPr="002F2898">
        <w:t xml:space="preserve">, 2008; </w:t>
      </w:r>
      <w:proofErr w:type="spellStart"/>
      <w:r w:rsidRPr="002F2898">
        <w:t>Holford</w:t>
      </w:r>
      <w:proofErr w:type="spellEnd"/>
      <w:r w:rsidRPr="002F2898">
        <w:t xml:space="preserve"> et al, 2012; Reynolds et al, 2017).</w:t>
      </w:r>
      <w:r w:rsidR="00CF78C4" w:rsidRPr="00002FA2">
        <w:br w:type="page"/>
      </w:r>
    </w:p>
    <w:p w14:paraId="47A40372" w14:textId="77777777" w:rsidR="00B940A1" w:rsidRDefault="00B940A1" w:rsidP="00B940A1">
      <w:pPr>
        <w:pStyle w:val="Heading2"/>
      </w:pPr>
      <w:r>
        <w:lastRenderedPageBreak/>
        <w:t>Exploration history</w:t>
      </w:r>
    </w:p>
    <w:p w14:paraId="1963D3FB" w14:textId="53A03BFE" w:rsidR="00FC2304" w:rsidRPr="001649DE" w:rsidRDefault="00FC2304" w:rsidP="00FC2304">
      <w:pPr>
        <w:pStyle w:val="BodyText"/>
      </w:pPr>
      <w:r w:rsidRPr="001649DE">
        <w:t>Petroleum exploration in the eastern Bight Basin (Eyre, Ceduna and Duntroon sub-basins) has occurred in three major cycles – the late 1960s to early 1970s, the early 1990s, and 2000–present (see O’Neil, 2003). After nearly fifty years of exploration in the offshore Bight Basin, only ten petroleum exploration wells have been drilled (</w:t>
      </w:r>
      <w:r w:rsidRPr="005F14DB">
        <w:rPr>
          <w:b/>
        </w:rPr>
        <w:t>Figure </w:t>
      </w:r>
      <w:r w:rsidR="0011543E">
        <w:rPr>
          <w:b/>
        </w:rPr>
        <w:t>2</w:t>
      </w:r>
      <w:r w:rsidRPr="001649DE">
        <w:t xml:space="preserve">). With the exception of </w:t>
      </w:r>
      <w:proofErr w:type="spellStart"/>
      <w:r w:rsidRPr="001649DE">
        <w:t>Gnarlyknots</w:t>
      </w:r>
      <w:proofErr w:type="spellEnd"/>
      <w:r>
        <w:t> </w:t>
      </w:r>
      <w:r w:rsidRPr="001649DE">
        <w:t xml:space="preserve">1/1A, all wells have been drilled in relatively shallow water near the basin margin. The deeper part of the basin remains largely untested. No significant hydrocarbons have been discovered </w:t>
      </w:r>
      <w:r>
        <w:t>and</w:t>
      </w:r>
      <w:r w:rsidRPr="001649DE">
        <w:t xml:space="preserve"> the Bight Basin remains an exploration frontier. Recently, exploration activity in the main depocentres in the eastern part of the basin has increased and exploration permits cover parts of the Ceduna Sub-basin (Statoil</w:t>
      </w:r>
      <w:r w:rsidR="0098664E">
        <w:t>/</w:t>
      </w:r>
      <w:proofErr w:type="spellStart"/>
      <w:r w:rsidR="0098664E">
        <w:t>Equinor</w:t>
      </w:r>
      <w:proofErr w:type="spellEnd"/>
      <w:r w:rsidRPr="001649DE">
        <w:t xml:space="preserve">, Murphy/Santos, </w:t>
      </w:r>
      <w:proofErr w:type="spellStart"/>
      <w:proofErr w:type="gramStart"/>
      <w:r w:rsidR="00FD633E">
        <w:t>Karoon</w:t>
      </w:r>
      <w:proofErr w:type="spellEnd"/>
      <w:proofErr w:type="gramEnd"/>
      <w:r w:rsidR="00FD633E">
        <w:t>)</w:t>
      </w:r>
      <w:r w:rsidRPr="001649DE">
        <w:t xml:space="preserve"> and the easternmost Ceduna–Duntroon sub-basins (Bight Petroleum</w:t>
      </w:r>
      <w:r w:rsidR="00FD633E">
        <w:t xml:space="preserve">; </w:t>
      </w:r>
      <w:r w:rsidR="00FD633E" w:rsidRPr="00FD633E">
        <w:rPr>
          <w:b/>
        </w:rPr>
        <w:t>Figure </w:t>
      </w:r>
      <w:r w:rsidR="00E53B3D">
        <w:rPr>
          <w:b/>
        </w:rPr>
        <w:t>9</w:t>
      </w:r>
      <w:r w:rsidRPr="001649DE">
        <w:t xml:space="preserve">). New seismic data have been acquired in the basin, including ION </w:t>
      </w:r>
      <w:proofErr w:type="spellStart"/>
      <w:r w:rsidRPr="001649DE">
        <w:t>Geophysical’s</w:t>
      </w:r>
      <w:proofErr w:type="spellEnd"/>
      <w:r w:rsidRPr="001649DE">
        <w:t xml:space="preserve"> </w:t>
      </w:r>
      <w:proofErr w:type="spellStart"/>
      <w:r w:rsidRPr="001649DE">
        <w:t>BightSPAN</w:t>
      </w:r>
      <w:proofErr w:type="spellEnd"/>
      <w:r w:rsidRPr="001649DE">
        <w:t xml:space="preserve"> deep regional seismic survey, and several large 3D</w:t>
      </w:r>
      <w:r>
        <w:t> </w:t>
      </w:r>
      <w:r w:rsidRPr="001649DE">
        <w:t>surveys over the Ceduna Sub basin. These new surveys have augmented the 100</w:t>
      </w:r>
      <w:r>
        <w:t> </w:t>
      </w:r>
      <w:r w:rsidRPr="001649DE">
        <w:t>000</w:t>
      </w:r>
      <w:r>
        <w:t> </w:t>
      </w:r>
      <w:r w:rsidRPr="001649DE">
        <w:t>line</w:t>
      </w:r>
      <w:r>
        <w:t> </w:t>
      </w:r>
      <w:r w:rsidRPr="001649DE">
        <w:t>km of legacy 2D</w:t>
      </w:r>
      <w:r>
        <w:t> </w:t>
      </w:r>
      <w:r w:rsidRPr="001649DE">
        <w:t>seismic data with modern 2D</w:t>
      </w:r>
      <w:r>
        <w:t> </w:t>
      </w:r>
      <w:r w:rsidRPr="001649DE">
        <w:t>and 3D</w:t>
      </w:r>
      <w:r>
        <w:t> </w:t>
      </w:r>
      <w:r w:rsidRPr="001649DE">
        <w:t>seismic data.</w:t>
      </w:r>
    </w:p>
    <w:p w14:paraId="25C81050" w14:textId="45B6D095" w:rsidR="00FC2304" w:rsidRPr="001649DE" w:rsidRDefault="00FC2304" w:rsidP="00FC2304">
      <w:pPr>
        <w:pStyle w:val="BodyText"/>
      </w:pPr>
      <w:r w:rsidRPr="001649DE">
        <w:t xml:space="preserve">During the 1960s and 1970s, exploration was undertaken by Shell Development (Australia) (Shell) and </w:t>
      </w:r>
      <w:proofErr w:type="gramStart"/>
      <w:r w:rsidRPr="001649DE">
        <w:t>Outback</w:t>
      </w:r>
      <w:proofErr w:type="gramEnd"/>
      <w:r w:rsidRPr="001649DE">
        <w:t xml:space="preserve"> Oil. Seismic, shipboard magnetic and aeromagnetic data were acquired. Several prospects were developed from these activities and three exploration wells were drilled – Echidna</w:t>
      </w:r>
      <w:r>
        <w:t> </w:t>
      </w:r>
      <w:r w:rsidRPr="001649DE">
        <w:t>1 (Duntroon Sub-basin, 1972), Platypus</w:t>
      </w:r>
      <w:r>
        <w:t> </w:t>
      </w:r>
      <w:r w:rsidRPr="001649DE">
        <w:t>1</w:t>
      </w:r>
      <w:r>
        <w:t xml:space="preserve"> </w:t>
      </w:r>
      <w:r w:rsidRPr="001649DE">
        <w:t>(Ceduna Sub-basin, 1972) and Potoroo</w:t>
      </w:r>
      <w:r>
        <w:t> </w:t>
      </w:r>
      <w:r w:rsidRPr="001649DE">
        <w:t>1 (Ceduna Sub-basin, 1975). By 1977, Shell had surrendered its Bight Basin petroleum exploration permits. In the early 1980s, limited exploration took place in the central Ceduna Sub-basin, with exploration efforts concentrating on shallower, flanking depocentres. Esso Exploration and Production Australia (Esso), in a joint venture with Hematite Petroleum acquired seismic surveys and drilled Jerboa</w:t>
      </w:r>
      <w:r>
        <w:t> </w:t>
      </w:r>
      <w:r w:rsidRPr="001649DE">
        <w:t>1 (1980) in the Eyre Sub-basin, and Outback Oil and BP drilled Duntroon</w:t>
      </w:r>
      <w:r>
        <w:t> </w:t>
      </w:r>
      <w:r w:rsidRPr="001649DE">
        <w:t>1 (1986) in the Duntroon Sub-basin.</w:t>
      </w:r>
    </w:p>
    <w:p w14:paraId="07269586" w14:textId="77777777" w:rsidR="00FC2304" w:rsidRPr="001649DE" w:rsidRDefault="00FC2304" w:rsidP="00FC2304">
      <w:pPr>
        <w:pStyle w:val="BodyText"/>
      </w:pPr>
      <w:r w:rsidRPr="001649DE">
        <w:t xml:space="preserve">In early 1990, BP acquired an Airborne Laser </w:t>
      </w:r>
      <w:proofErr w:type="spellStart"/>
      <w:r w:rsidRPr="001649DE">
        <w:t>Fluorosensor</w:t>
      </w:r>
      <w:proofErr w:type="spellEnd"/>
      <w:r w:rsidRPr="001649DE">
        <w:t xml:space="preserve"> (ALF) survey over the inboard Bight Basin. The initial results were disappointing, but reprocessing and reinterpretation of the data resulted in the identification of 941</w:t>
      </w:r>
      <w:r>
        <w:t xml:space="preserve"> </w:t>
      </w:r>
      <w:r w:rsidRPr="001649DE">
        <w:t xml:space="preserve">confident </w:t>
      </w:r>
      <w:proofErr w:type="spellStart"/>
      <w:r w:rsidRPr="001649DE">
        <w:t>fluors</w:t>
      </w:r>
      <w:proofErr w:type="spellEnd"/>
      <w:r w:rsidRPr="001649DE">
        <w:t xml:space="preserve"> (Cowley, 2001). In 1991, BHP Petroleum (Australia) (BHP) commenced an exploration program focussing on the eastern Ceduna and Duntroon sub-basins. In 1993, BHP drilled three wells – </w:t>
      </w:r>
      <w:proofErr w:type="spellStart"/>
      <w:r w:rsidRPr="001649DE">
        <w:t>Borda</w:t>
      </w:r>
      <w:proofErr w:type="spellEnd"/>
      <w:r>
        <w:t> </w:t>
      </w:r>
      <w:r w:rsidRPr="001649DE">
        <w:t>1 and Greenly</w:t>
      </w:r>
      <w:r>
        <w:t> </w:t>
      </w:r>
      <w:r w:rsidRPr="001649DE">
        <w:t xml:space="preserve">1 in the Ceduna Sub-basin, and </w:t>
      </w:r>
      <w:proofErr w:type="spellStart"/>
      <w:r w:rsidRPr="001649DE">
        <w:t>Vivonne</w:t>
      </w:r>
      <w:proofErr w:type="spellEnd"/>
      <w:r>
        <w:t> </w:t>
      </w:r>
      <w:r w:rsidRPr="001649DE">
        <w:t>1 in the Duntroon Sub-basin. Although all three were plugged and abandoned, their results vastly improved knowledge of the basin succession. Gas shows and oil indications in Greenly</w:t>
      </w:r>
      <w:r>
        <w:t> </w:t>
      </w:r>
      <w:r w:rsidRPr="001649DE">
        <w:t>1 provided some encouragement for further exploration.</w:t>
      </w:r>
    </w:p>
    <w:p w14:paraId="6E42DB97" w14:textId="417DE41B" w:rsidR="00FC2304" w:rsidRPr="001649DE" w:rsidRDefault="00FC2304" w:rsidP="00FC2304">
      <w:pPr>
        <w:pStyle w:val="BodyText"/>
      </w:pPr>
      <w:r w:rsidRPr="001649DE">
        <w:t>The latest phase of petroleum exploration commenced in 2000 when exploration permits EPP</w:t>
      </w:r>
      <w:r>
        <w:t> </w:t>
      </w:r>
      <w:r w:rsidRPr="001649DE">
        <w:t>28, EPP</w:t>
      </w:r>
      <w:r>
        <w:t> </w:t>
      </w:r>
      <w:r w:rsidRPr="001649DE">
        <w:t>29 and EPP</w:t>
      </w:r>
      <w:r>
        <w:t> </w:t>
      </w:r>
      <w:r w:rsidRPr="001649DE">
        <w:t xml:space="preserve">30 were awarded to a joint venture comprising Woodside Energy (operator), Anadarko Australia and </w:t>
      </w:r>
      <w:proofErr w:type="spellStart"/>
      <w:r w:rsidRPr="001649DE">
        <w:t>PanCanadian</w:t>
      </w:r>
      <w:proofErr w:type="spellEnd"/>
      <w:r w:rsidRPr="001649DE">
        <w:t xml:space="preserve"> Petroleum (now EnCana) in the Ceduna Sub-basin. The joint venture acquired approximately 15</w:t>
      </w:r>
      <w:r>
        <w:t> </w:t>
      </w:r>
      <w:r w:rsidRPr="001649DE">
        <w:t>400</w:t>
      </w:r>
      <w:r>
        <w:t> </w:t>
      </w:r>
      <w:r w:rsidRPr="001649DE">
        <w:t>line</w:t>
      </w:r>
      <w:r>
        <w:t> </w:t>
      </w:r>
      <w:r w:rsidRPr="001649DE">
        <w:t>km of 2D</w:t>
      </w:r>
      <w:r>
        <w:t> </w:t>
      </w:r>
      <w:r w:rsidRPr="001649DE">
        <w:t xml:space="preserve">seismic data and in 2003, drilled </w:t>
      </w:r>
      <w:proofErr w:type="spellStart"/>
      <w:r w:rsidRPr="001649DE">
        <w:t>Gnarlyknots</w:t>
      </w:r>
      <w:proofErr w:type="spellEnd"/>
      <w:r>
        <w:t> </w:t>
      </w:r>
      <w:r w:rsidRPr="001649DE">
        <w:t>1/1A in EPP</w:t>
      </w:r>
      <w:r>
        <w:t> </w:t>
      </w:r>
      <w:r w:rsidRPr="001649DE">
        <w:t xml:space="preserve">29. The well failed to reach its objective and was suspended </w:t>
      </w:r>
      <w:r>
        <w:t>due to</w:t>
      </w:r>
      <w:r w:rsidRPr="001649DE">
        <w:t xml:space="preserve"> adverse weather conditions</w:t>
      </w:r>
      <w:r>
        <w:t xml:space="preserve"> while drilling</w:t>
      </w:r>
      <w:r w:rsidRPr="001649DE">
        <w:t>. No exploration well has been drilled in the Bight Basin since. The lack of success for this well, the first well to target the thicker, more prospective succession in the outboard Ceduna Sub-basin, had a large negative impact on perceptions of prospectivity in the basin and raised doubts about the presence of hydrocarbon source rocks in the basin. In early 2006, Woodside acquired the 1250</w:t>
      </w:r>
      <w:r>
        <w:t> </w:t>
      </w:r>
      <w:r w:rsidRPr="001649DE">
        <w:t>km</w:t>
      </w:r>
      <w:r w:rsidRPr="00494845">
        <w:rPr>
          <w:vertAlign w:val="superscript"/>
        </w:rPr>
        <w:t xml:space="preserve">2 </w:t>
      </w:r>
      <w:r w:rsidRPr="001649DE">
        <w:t>Trim 3D</w:t>
      </w:r>
      <w:r>
        <w:t> s</w:t>
      </w:r>
      <w:r w:rsidRPr="001649DE">
        <w:t xml:space="preserve">eismic </w:t>
      </w:r>
      <w:r>
        <w:t>s</w:t>
      </w:r>
      <w:r w:rsidRPr="001649DE">
        <w:t>urvey in the outer Ceduna Sub-basin, but in 2007 they surrendered all three permits.</w:t>
      </w:r>
    </w:p>
    <w:p w14:paraId="15EF2C9D" w14:textId="77777777" w:rsidR="00FC2304" w:rsidRPr="001649DE" w:rsidRDefault="00FC2304" w:rsidP="00FC2304">
      <w:pPr>
        <w:pStyle w:val="BodyText"/>
      </w:pPr>
      <w:r w:rsidRPr="001649DE">
        <w:t>During this period, permits were also held in the Duntroon Sub-basin and on the eastern margin of the Ceduna Sub-basin by the Woodside-Anadarko-EnCana joint venture and Santos Offshore. Approximately 2300</w:t>
      </w:r>
      <w:r>
        <w:t> </w:t>
      </w:r>
      <w:r w:rsidRPr="001649DE">
        <w:t>line</w:t>
      </w:r>
      <w:r>
        <w:t> </w:t>
      </w:r>
      <w:r w:rsidRPr="001649DE">
        <w:t>km of seismic data were acquired within the permits, prior to surrender in 2007.</w:t>
      </w:r>
    </w:p>
    <w:p w14:paraId="138F4726" w14:textId="77777777" w:rsidR="00FC2304" w:rsidRPr="001649DE" w:rsidRDefault="00FC2304" w:rsidP="00FC2304">
      <w:pPr>
        <w:pStyle w:val="BodyText"/>
      </w:pPr>
      <w:r w:rsidRPr="001649DE">
        <w:t xml:space="preserve">Following the failure of the </w:t>
      </w:r>
      <w:proofErr w:type="spellStart"/>
      <w:r w:rsidRPr="001649DE">
        <w:t>Gnarlyknots</w:t>
      </w:r>
      <w:proofErr w:type="spellEnd"/>
      <w:r w:rsidRPr="001649DE">
        <w:t xml:space="preserve"> 1A well, Geoscience Australia undertook a precompetitive study in 2007-2009 to address some of the key uncertainties and negative perceptions. The study centred on an extensive marine sampling survey which aimed to sample potential source rocks and identify possible seepage areas. The resulting collection and identification of world-class marine, oil-prone potential source rocks in the Bight Basin (</w:t>
      </w:r>
      <w:proofErr w:type="spellStart"/>
      <w:r w:rsidRPr="001649DE">
        <w:t>Totterdell</w:t>
      </w:r>
      <w:proofErr w:type="spellEnd"/>
      <w:r w:rsidRPr="001649DE">
        <w:t xml:space="preserve"> et al, 2008; </w:t>
      </w:r>
      <w:proofErr w:type="spellStart"/>
      <w:r w:rsidRPr="001649DE">
        <w:t>Totterdell</w:t>
      </w:r>
      <w:proofErr w:type="spellEnd"/>
      <w:r w:rsidRPr="001649DE">
        <w:t xml:space="preserve"> and Mitchell, 2009), stimulated renewed exploration interest and the release of exploration areas across the basin. </w:t>
      </w:r>
    </w:p>
    <w:p w14:paraId="7AA9348C" w14:textId="77777777" w:rsidR="00FC2304" w:rsidRPr="001649DE" w:rsidRDefault="00FC2304" w:rsidP="00FC2304">
      <w:pPr>
        <w:pStyle w:val="BodyText"/>
      </w:pPr>
      <w:r w:rsidRPr="001649DE">
        <w:t>Following acreage release in the northern and central Ceduna Sub-basin in 2009, four permits (EPPs</w:t>
      </w:r>
      <w:r>
        <w:t> </w:t>
      </w:r>
      <w:r w:rsidRPr="001649DE">
        <w:t xml:space="preserve">37–40) were awarded to BP Exploration (Alpha) </w:t>
      </w:r>
      <w:r>
        <w:t xml:space="preserve">Ltd </w:t>
      </w:r>
      <w:r w:rsidRPr="001649DE">
        <w:t>in January 2011. The guaranteed work program included the acquisition of over 11</w:t>
      </w:r>
      <w:r>
        <w:t> </w:t>
      </w:r>
      <w:r w:rsidRPr="001649DE">
        <w:t>000</w:t>
      </w:r>
      <w:r>
        <w:t> </w:t>
      </w:r>
      <w:r w:rsidRPr="001649DE">
        <w:t>km</w:t>
      </w:r>
      <w:r w:rsidRPr="00494845">
        <w:rPr>
          <w:vertAlign w:val="superscript"/>
        </w:rPr>
        <w:t>2</w:t>
      </w:r>
      <w:r w:rsidRPr="001649DE">
        <w:t xml:space="preserve"> of 3D</w:t>
      </w:r>
      <w:r>
        <w:t> </w:t>
      </w:r>
      <w:r w:rsidRPr="001649DE">
        <w:t>seismic data and the drilling of four wells. In 2013, Statoil took a 30% interest in these permits.</w:t>
      </w:r>
    </w:p>
    <w:p w14:paraId="4851E475" w14:textId="77777777" w:rsidR="00FC2304" w:rsidRPr="001649DE" w:rsidRDefault="00FC2304" w:rsidP="00FC2304">
      <w:pPr>
        <w:pStyle w:val="BodyText"/>
      </w:pPr>
      <w:r w:rsidRPr="001649DE">
        <w:t>Two areas in the easternmost Ceduna and Duntroon sub-basins, released in 2010, were awarded to Bight Petroleum in 2011 with a guaranteed work program that included the drilling of one well.</w:t>
      </w:r>
    </w:p>
    <w:p w14:paraId="08B63140" w14:textId="03FC7275" w:rsidR="00FC2304" w:rsidRPr="001649DE" w:rsidRDefault="00FC2304" w:rsidP="00FC2304">
      <w:pPr>
        <w:pStyle w:val="BodyText"/>
      </w:pPr>
      <w:r w:rsidRPr="001649DE">
        <w:lastRenderedPageBreak/>
        <w:t>Further acreage to the northwest and southeast of the BP permits was released in 2012. In October 2013, two permits (EPPs</w:t>
      </w:r>
      <w:r>
        <w:t> </w:t>
      </w:r>
      <w:r w:rsidRPr="001649DE">
        <w:t>44, 45) were awarded to Chevron Australia New Ventures Pty Ltd.; the guaranteed work program included the acquisition of 21</w:t>
      </w:r>
      <w:r>
        <w:t> </w:t>
      </w:r>
      <w:r w:rsidR="00132062" w:rsidRPr="001649DE">
        <w:t>000</w:t>
      </w:r>
      <w:r w:rsidR="00132062">
        <w:t> </w:t>
      </w:r>
      <w:r w:rsidRPr="001649DE">
        <w:t>km</w:t>
      </w:r>
      <w:r w:rsidRPr="00494845">
        <w:rPr>
          <w:vertAlign w:val="superscript"/>
        </w:rPr>
        <w:t>2</w:t>
      </w:r>
      <w:r w:rsidRPr="001649DE">
        <w:t xml:space="preserve"> of 3D</w:t>
      </w:r>
      <w:r>
        <w:t> </w:t>
      </w:r>
      <w:r w:rsidRPr="001649DE">
        <w:t>seismic data and the drilling of four wells. One permit (EPP</w:t>
      </w:r>
      <w:r>
        <w:t> </w:t>
      </w:r>
      <w:r w:rsidRPr="001649DE">
        <w:t>43) was awarded to Murphy Australia Oil Pty Ltd and Santos Offshore Pty Ltd, with a guaranteed work program that included the acquisition of 2D</w:t>
      </w:r>
      <w:r>
        <w:t> </w:t>
      </w:r>
      <w:r w:rsidRPr="001649DE">
        <w:t>and 3D</w:t>
      </w:r>
      <w:r>
        <w:t> </w:t>
      </w:r>
      <w:r w:rsidRPr="001649DE">
        <w:t xml:space="preserve">seismic data. </w:t>
      </w:r>
    </w:p>
    <w:p w14:paraId="508C286F" w14:textId="77777777" w:rsidR="00FC2304" w:rsidRPr="001649DE" w:rsidRDefault="00FC2304" w:rsidP="00FC2304">
      <w:pPr>
        <w:pStyle w:val="BodyText"/>
      </w:pPr>
      <w:r w:rsidRPr="001649DE">
        <w:t>The remaining exploration areas in the eastern Bight Basin were released in 2014 and 2015. An Eyre Sub-basin permit (WA-517-P) was awarded to Santos-JX Nippon in August 2015, and in October 2016, EPP</w:t>
      </w:r>
      <w:r>
        <w:t> </w:t>
      </w:r>
      <w:r w:rsidRPr="001649DE">
        <w:t>46 in the Ceduna Sub-basin, to the east of Chevron’s EPP</w:t>
      </w:r>
      <w:r>
        <w:t> </w:t>
      </w:r>
      <w:r w:rsidRPr="001649DE">
        <w:t xml:space="preserve">45, was awarded to </w:t>
      </w:r>
      <w:proofErr w:type="spellStart"/>
      <w:r w:rsidRPr="001649DE">
        <w:t>Karoon</w:t>
      </w:r>
      <w:proofErr w:type="spellEnd"/>
      <w:r w:rsidRPr="001649DE">
        <w:t xml:space="preserve"> Gas Australia.</w:t>
      </w:r>
    </w:p>
    <w:p w14:paraId="2BF80F67" w14:textId="5D911986" w:rsidR="00FC2304" w:rsidRPr="001649DE" w:rsidRDefault="00FC2304" w:rsidP="00FC2304">
      <w:pPr>
        <w:pStyle w:val="BodyText"/>
      </w:pPr>
      <w:r w:rsidRPr="001649DE">
        <w:t>The guaranteed work programs of geological and geophysical studies for the eleven permits in the eastern Bight Basin awarded from 2011–2017 totalled a minimum exploration investment in excess of $1.2 billion. Since award of these permits, exploration activities by the permit holders have resulted in the acquisition of ~42</w:t>
      </w:r>
      <w:r>
        <w:t> </w:t>
      </w:r>
      <w:r w:rsidRPr="001649DE">
        <w:t>000</w:t>
      </w:r>
      <w:r>
        <w:t> </w:t>
      </w:r>
      <w:r w:rsidRPr="001649DE">
        <w:t>km</w:t>
      </w:r>
      <w:r w:rsidRPr="00233F70">
        <w:rPr>
          <w:rStyle w:val="Superscript"/>
        </w:rPr>
        <w:t>2</w:t>
      </w:r>
      <w:r w:rsidRPr="001649DE">
        <w:t xml:space="preserve"> of 3D</w:t>
      </w:r>
      <w:r>
        <w:t> </w:t>
      </w:r>
      <w:r w:rsidRPr="001649DE">
        <w:t>seismic data—the Ceduna (12</w:t>
      </w:r>
      <w:r>
        <w:t> </w:t>
      </w:r>
      <w:r w:rsidRPr="001649DE">
        <w:t>022</w:t>
      </w:r>
      <w:r>
        <w:t> </w:t>
      </w:r>
      <w:r w:rsidRPr="001649DE">
        <w:t>km</w:t>
      </w:r>
      <w:r w:rsidRPr="00494845">
        <w:rPr>
          <w:vertAlign w:val="superscript"/>
        </w:rPr>
        <w:t>2</w:t>
      </w:r>
      <w:r w:rsidRPr="001649DE">
        <w:t>), Nerites (21</w:t>
      </w:r>
      <w:r>
        <w:t> </w:t>
      </w:r>
      <w:r w:rsidRPr="001649DE">
        <w:t>488</w:t>
      </w:r>
      <w:r>
        <w:t> </w:t>
      </w:r>
      <w:r w:rsidRPr="001649DE">
        <w:t>km</w:t>
      </w:r>
      <w:r w:rsidRPr="00494845">
        <w:rPr>
          <w:vertAlign w:val="superscript"/>
        </w:rPr>
        <w:t>2</w:t>
      </w:r>
      <w:r w:rsidRPr="001649DE">
        <w:t>) and Springboard (8013</w:t>
      </w:r>
      <w:r>
        <w:t> </w:t>
      </w:r>
      <w:r w:rsidRPr="001649DE">
        <w:t>km</w:t>
      </w:r>
      <w:r w:rsidRPr="00494845">
        <w:rPr>
          <w:vertAlign w:val="superscript"/>
        </w:rPr>
        <w:t>2</w:t>
      </w:r>
      <w:r w:rsidRPr="001649DE">
        <w:t>) 3D</w:t>
      </w:r>
      <w:r>
        <w:t> </w:t>
      </w:r>
      <w:r w:rsidRPr="001649DE">
        <w:t>surveys. These new data sets have completely altered the knowledge base for the basin, from disparate 2D</w:t>
      </w:r>
      <w:r>
        <w:t> </w:t>
      </w:r>
      <w:r w:rsidRPr="001649DE">
        <w:t>seismic data of varying vintages to an almost blanket coverage of modern high quality 3D</w:t>
      </w:r>
      <w:r>
        <w:t> </w:t>
      </w:r>
      <w:r w:rsidRPr="001649DE">
        <w:t>seismic data across the northern and central Ceduna Sub-basin, and have delivered new insights into the evolution and petroleum geology of the basin</w:t>
      </w:r>
      <w:r w:rsidR="0016137C">
        <w:t xml:space="preserve"> (e.g. </w:t>
      </w:r>
      <w:proofErr w:type="spellStart"/>
      <w:r w:rsidR="0016137C" w:rsidRPr="0016137C">
        <w:t>Klauser-Baumgärtner</w:t>
      </w:r>
      <w:proofErr w:type="spellEnd"/>
      <w:r w:rsidR="0016137C">
        <w:t xml:space="preserve"> et al, 2019;</w:t>
      </w:r>
      <w:r w:rsidR="00FF0D5B">
        <w:t xml:space="preserve"> </w:t>
      </w:r>
      <w:proofErr w:type="spellStart"/>
      <w:r w:rsidR="00FF0D5B" w:rsidRPr="00FF0D5B">
        <w:t>Strømsøyen</w:t>
      </w:r>
      <w:proofErr w:type="spellEnd"/>
      <w:r w:rsidR="00FF0D5B">
        <w:t xml:space="preserve"> et al, 2019)</w:t>
      </w:r>
      <w:r w:rsidRPr="001649DE">
        <w:t>.</w:t>
      </w:r>
    </w:p>
    <w:p w14:paraId="6673BD87" w14:textId="6B1F28B7" w:rsidR="00FC2304" w:rsidRPr="001649DE" w:rsidRDefault="00FC2304" w:rsidP="00FC2304">
      <w:pPr>
        <w:pStyle w:val="BodyText"/>
      </w:pPr>
      <w:r w:rsidRPr="001649DE">
        <w:t>Exploration efforts in the basin suffered a setback in October 2016 when BP announced it would not progress its exploration drilling programme in the Great Australian Bight, citing that the project would not be able to compete for capital investment with other upstream opportunities in its global portfolio (</w:t>
      </w:r>
      <w:hyperlink r:id="rId8" w:history="1">
        <w:r>
          <w:rPr>
            <w:rStyle w:val="Hyperlink"/>
            <w:color w:val="333333"/>
          </w:rPr>
          <w:t>BP,</w:t>
        </w:r>
      </w:hyperlink>
      <w:r>
        <w:rPr>
          <w:rStyle w:val="Hyperlink"/>
          <w:color w:val="333333"/>
        </w:rPr>
        <w:t xml:space="preserve"> 2016</w:t>
      </w:r>
      <w:r w:rsidRPr="001649DE">
        <w:t>). In an asset transfer agreement with joint venture partner Statoil, BP was assigned a 100% interest in EPP</w:t>
      </w:r>
      <w:r>
        <w:t> </w:t>
      </w:r>
      <w:r w:rsidRPr="001649DE">
        <w:t>37 and EPP</w:t>
      </w:r>
      <w:r>
        <w:t> </w:t>
      </w:r>
      <w:r w:rsidRPr="001649DE">
        <w:t>38 (which were ultimately cancelled), and Statoil a 100% interest in EPP</w:t>
      </w:r>
      <w:r>
        <w:t> </w:t>
      </w:r>
      <w:r w:rsidRPr="001649DE">
        <w:t>39 and EPP</w:t>
      </w:r>
      <w:r>
        <w:t> </w:t>
      </w:r>
      <w:r w:rsidRPr="001649DE">
        <w:t>40. Statoil announced that a well would be drilled in EPP</w:t>
      </w:r>
      <w:r>
        <w:t> </w:t>
      </w:r>
      <w:r w:rsidRPr="001649DE">
        <w:t>39 by late 2019 (</w:t>
      </w:r>
      <w:r>
        <w:t>Statoil, 2017)</w:t>
      </w:r>
      <w:r w:rsidR="000954F5">
        <w:t xml:space="preserve">. </w:t>
      </w:r>
    </w:p>
    <w:p w14:paraId="013ADF74" w14:textId="29320DB6" w:rsidR="00FC2304" w:rsidRDefault="00FC2304" w:rsidP="00FC2304">
      <w:pPr>
        <w:pStyle w:val="BodyText"/>
      </w:pPr>
      <w:r w:rsidRPr="001649DE">
        <w:t>BP’s withdrawal was followed by</w:t>
      </w:r>
      <w:r w:rsidR="0098664E">
        <w:t xml:space="preserve"> Chevron’s </w:t>
      </w:r>
      <w:r w:rsidRPr="001649DE">
        <w:t>announcement in October 2017 that they would not be proceeding with their drilling campaign in EPP</w:t>
      </w:r>
      <w:r>
        <w:t> </w:t>
      </w:r>
      <w:r w:rsidRPr="001649DE">
        <w:t>44 and EPP</w:t>
      </w:r>
      <w:r>
        <w:t> </w:t>
      </w:r>
      <w:r w:rsidRPr="001649DE">
        <w:t>45. Chevron stated that</w:t>
      </w:r>
      <w:r>
        <w:t>;</w:t>
      </w:r>
      <w:r w:rsidRPr="001649DE">
        <w:t xml:space="preserve"> “while the Great Australian Bight is one of Australia’s most prospective frontier hydrocarbon regions, in the current low oil price environment it was not able to compete for capital in Chevron’s global portfolio”</w:t>
      </w:r>
      <w:r>
        <w:t xml:space="preserve"> (Chevron, 2017).</w:t>
      </w:r>
    </w:p>
    <w:p w14:paraId="42B3B37A" w14:textId="1451BFDF" w:rsidR="006F0BC9" w:rsidRDefault="006F0BC9" w:rsidP="00FC2304">
      <w:pPr>
        <w:pStyle w:val="BodyText"/>
      </w:pPr>
      <w:r>
        <w:t xml:space="preserve">In November 2019, </w:t>
      </w:r>
      <w:proofErr w:type="spellStart"/>
      <w:r>
        <w:t>Karoon</w:t>
      </w:r>
      <w:proofErr w:type="spellEnd"/>
      <w:r>
        <w:t xml:space="preserve"> Gas relinquished their interest in permit EPP 46 adhering to their broader stakeholders</w:t>
      </w:r>
      <w:r w:rsidR="009B58BD">
        <w:t>’</w:t>
      </w:r>
      <w:r>
        <w:t xml:space="preserve"> concerns about exploration risk. The company was also waiting for BPs and Chevron’s drilling results to re-assess their forward work program</w:t>
      </w:r>
      <w:r w:rsidR="00DB1B98">
        <w:t xml:space="preserve"> (</w:t>
      </w:r>
      <w:proofErr w:type="spellStart"/>
      <w:r w:rsidR="00D20F5F">
        <w:t>Karoon</w:t>
      </w:r>
      <w:proofErr w:type="spellEnd"/>
      <w:r w:rsidR="00D20F5F">
        <w:t xml:space="preserve"> Gas, 2019</w:t>
      </w:r>
      <w:r w:rsidR="00DB1B98">
        <w:t>)</w:t>
      </w:r>
      <w:r>
        <w:t>.</w:t>
      </w:r>
    </w:p>
    <w:p w14:paraId="131E77FC" w14:textId="2E99EAFF" w:rsidR="002A758C" w:rsidRDefault="000954F5" w:rsidP="00865CD9">
      <w:pPr>
        <w:pStyle w:val="BodyText"/>
      </w:pPr>
      <w:r>
        <w:t xml:space="preserve">Statoil changed its name to </w:t>
      </w:r>
      <w:proofErr w:type="spellStart"/>
      <w:r>
        <w:t>Equinor</w:t>
      </w:r>
      <w:proofErr w:type="spellEnd"/>
      <w:r>
        <w:t xml:space="preserve"> </w:t>
      </w:r>
      <w:r w:rsidR="00C77A9D">
        <w:t xml:space="preserve">in May 2018 </w:t>
      </w:r>
      <w:r>
        <w:t xml:space="preserve">and </w:t>
      </w:r>
      <w:r w:rsidR="00C77A9D">
        <w:t xml:space="preserve">confirmed its plans to drill the BP-mapped Stromlo-1 prospect in </w:t>
      </w:r>
      <w:r>
        <w:t>EPP</w:t>
      </w:r>
      <w:r w:rsidR="00FD633E">
        <w:t xml:space="preserve"> </w:t>
      </w:r>
      <w:r>
        <w:t xml:space="preserve">39. </w:t>
      </w:r>
      <w:r w:rsidR="00564FA0">
        <w:t>After a lengthy process of obtaining regulatory approvals for the well</w:t>
      </w:r>
      <w:r w:rsidR="002A758C">
        <w:t>,</w:t>
      </w:r>
      <w:r w:rsidR="00564FA0">
        <w:t xml:space="preserve"> </w:t>
      </w:r>
      <w:proofErr w:type="spellStart"/>
      <w:r w:rsidR="009A6F91">
        <w:t>Equinor</w:t>
      </w:r>
      <w:proofErr w:type="spellEnd"/>
      <w:r w:rsidR="009A6F91">
        <w:t xml:space="preserve"> </w:t>
      </w:r>
      <w:r w:rsidR="00564FA0">
        <w:t xml:space="preserve">was given the </w:t>
      </w:r>
      <w:r w:rsidR="002A758C">
        <w:t xml:space="preserve">final </w:t>
      </w:r>
      <w:r w:rsidR="00564FA0">
        <w:t xml:space="preserve">go-ahead to drill the prospect in </w:t>
      </w:r>
      <w:r w:rsidR="000B7330">
        <w:t>November</w:t>
      </w:r>
      <w:r w:rsidR="002A758C">
        <w:t xml:space="preserve"> 2019</w:t>
      </w:r>
      <w:r w:rsidR="00865CD9">
        <w:t xml:space="preserve">. </w:t>
      </w:r>
      <w:r w:rsidR="00564FA0">
        <w:t xml:space="preserve">The Stromlo </w:t>
      </w:r>
      <w:r w:rsidR="002A758C">
        <w:t>prospect</w:t>
      </w:r>
      <w:r w:rsidR="00564FA0">
        <w:t xml:space="preserve"> is l</w:t>
      </w:r>
      <w:r w:rsidR="00865CD9">
        <w:t xml:space="preserve">ocated in the Ceduna Sub-basin approximately 98 km southwest of </w:t>
      </w:r>
      <w:proofErr w:type="spellStart"/>
      <w:r w:rsidR="00865CD9" w:rsidRPr="001649DE">
        <w:t>Gnarlyknots</w:t>
      </w:r>
      <w:proofErr w:type="spellEnd"/>
      <w:r w:rsidR="00865CD9">
        <w:t> </w:t>
      </w:r>
      <w:r w:rsidR="00865CD9" w:rsidRPr="001649DE">
        <w:t>1/1A,</w:t>
      </w:r>
      <w:r w:rsidR="00865CD9">
        <w:t xml:space="preserve"> </w:t>
      </w:r>
      <w:r w:rsidR="00564FA0">
        <w:t xml:space="preserve">in </w:t>
      </w:r>
      <w:r w:rsidR="00865CD9">
        <w:t xml:space="preserve">water depth </w:t>
      </w:r>
      <w:r w:rsidR="00564FA0">
        <w:t xml:space="preserve">of </w:t>
      </w:r>
      <w:r w:rsidR="00865CD9">
        <w:t>2239 </w:t>
      </w:r>
      <w:proofErr w:type="spellStart"/>
      <w:r w:rsidR="00865CD9">
        <w:t>mMS</w:t>
      </w:r>
      <w:r w:rsidR="00DC103F">
        <w:t>L</w:t>
      </w:r>
      <w:proofErr w:type="spellEnd"/>
      <w:r w:rsidR="008328A7">
        <w:t xml:space="preserve"> (</w:t>
      </w:r>
      <w:proofErr w:type="spellStart"/>
      <w:r w:rsidR="008328A7">
        <w:t>Equinor</w:t>
      </w:r>
      <w:proofErr w:type="spellEnd"/>
      <w:r w:rsidR="008328A7">
        <w:t>, 2019)</w:t>
      </w:r>
      <w:r w:rsidR="00564FA0">
        <w:t xml:space="preserve">. The well was designed to reach TD at </w:t>
      </w:r>
      <w:r w:rsidR="00865CD9">
        <w:t>5186 </w:t>
      </w:r>
      <w:proofErr w:type="spellStart"/>
      <w:r w:rsidR="00865CD9">
        <w:t>mMSL</w:t>
      </w:r>
      <w:proofErr w:type="spellEnd"/>
      <w:r w:rsidR="00865CD9">
        <w:t xml:space="preserve">, </w:t>
      </w:r>
      <w:r w:rsidR="00564FA0">
        <w:t xml:space="preserve">with the main objective located between </w:t>
      </w:r>
      <w:r w:rsidR="00865CD9">
        <w:t>4941-5086 </w:t>
      </w:r>
      <w:proofErr w:type="spellStart"/>
      <w:r w:rsidR="00865CD9">
        <w:t>mMSL</w:t>
      </w:r>
      <w:proofErr w:type="spellEnd"/>
      <w:r w:rsidR="00564FA0">
        <w:t>.</w:t>
      </w:r>
      <w:r w:rsidR="002A758C">
        <w:t xml:space="preserve"> The </w:t>
      </w:r>
      <w:r w:rsidR="009B58BD">
        <w:t>drilling period</w:t>
      </w:r>
      <w:r w:rsidR="002A758C">
        <w:t xml:space="preserve"> was planned for the summer window of 2020/2021</w:t>
      </w:r>
      <w:r w:rsidR="00584A01">
        <w:t>. However, s</w:t>
      </w:r>
      <w:r w:rsidR="002A758C">
        <w:t xml:space="preserve">hortly after final approval was given </w:t>
      </w:r>
      <w:proofErr w:type="spellStart"/>
      <w:r w:rsidR="002A758C">
        <w:t>Equinor</w:t>
      </w:r>
      <w:proofErr w:type="spellEnd"/>
      <w:r w:rsidR="002A758C">
        <w:t xml:space="preserve"> announced that they were no longer pursuing their Ceduna-Sub-basin exploration program. Citing commercial consideration</w:t>
      </w:r>
      <w:r w:rsidR="00536C8E">
        <w:t>s</w:t>
      </w:r>
      <w:r w:rsidR="002A758C">
        <w:t xml:space="preserve">, the company followed BP and Chevron </w:t>
      </w:r>
      <w:r w:rsidR="000B7330">
        <w:t xml:space="preserve">in </w:t>
      </w:r>
      <w:r w:rsidR="002A758C">
        <w:t xml:space="preserve">abandoning </w:t>
      </w:r>
      <w:r w:rsidR="00DE3CA1">
        <w:t>plans to test the Bight Basin’s hydrocarbon potential</w:t>
      </w:r>
      <w:r w:rsidR="000B7330">
        <w:t>,</w:t>
      </w:r>
      <w:r w:rsidR="00536C8E">
        <w:t xml:space="preserve"> the last untested Cretaceous deltaic system in the world</w:t>
      </w:r>
      <w:r w:rsidR="00584A01">
        <w:t xml:space="preserve"> (</w:t>
      </w:r>
      <w:proofErr w:type="spellStart"/>
      <w:r w:rsidR="00E53D75">
        <w:t>Equinor</w:t>
      </w:r>
      <w:proofErr w:type="spellEnd"/>
      <w:r w:rsidR="00E53D75">
        <w:t>, 2020</w:t>
      </w:r>
      <w:r w:rsidR="00584A01">
        <w:t>)</w:t>
      </w:r>
      <w:r w:rsidR="00DE3CA1">
        <w:t xml:space="preserve">. </w:t>
      </w:r>
    </w:p>
    <w:p w14:paraId="57F1340A" w14:textId="08023C80" w:rsidR="006D1FAE" w:rsidRDefault="00FC2304" w:rsidP="00584A01">
      <w:pPr>
        <w:pStyle w:val="BodyText"/>
      </w:pPr>
      <w:r w:rsidRPr="001649DE">
        <w:t xml:space="preserve">The Bremer Sub-basin, in the far western part of the basin, is a frontier exploration province in which no wells have been drilled. The western Bight Basin has seen two phases of exploration – in the early 1970s and 2005–2014. Between 1972 and 1974, initial exploration in the area was undertaken by Esso Australia Limited and Continental Oil Company. During this time, seismic and aeromagnetic data were acquired across the Bremer Sub-basin and </w:t>
      </w:r>
      <w:proofErr w:type="spellStart"/>
      <w:r w:rsidRPr="001649DE">
        <w:t>shelfal</w:t>
      </w:r>
      <w:proofErr w:type="spellEnd"/>
      <w:r w:rsidRPr="001649DE">
        <w:t xml:space="preserve"> areas to the east. Although Esso identified large structures in the Bremer Sub-basin, no further work was undertaken. Between 2003 and 2005, Geoscience Australia undertook a petroleum prospectivity study of the Bremer Sub-basin, acquiring seismic data and undertaking dredge sampling (Bradshaw, 2005). These data underpinned the release of exploration areas in 2005. Two permits (WA</w:t>
      </w:r>
      <w:r>
        <w:t>-</w:t>
      </w:r>
      <w:r w:rsidRPr="001649DE">
        <w:t>279-P and WA-280-P) were initially awarded to Plectrum Petroleum. In 2008, the titles were transferred to a joint venture comprising Arcadia Petroleum and Enovation (now Cathay Petroleum). In 2009–10, the joint venture acquired over 4000</w:t>
      </w:r>
      <w:r>
        <w:t> </w:t>
      </w:r>
      <w:r w:rsidRPr="001649DE">
        <w:t>line</w:t>
      </w:r>
      <w:r>
        <w:t> </w:t>
      </w:r>
      <w:r w:rsidRPr="001649DE">
        <w:t>km of 2D</w:t>
      </w:r>
      <w:r>
        <w:t> </w:t>
      </w:r>
      <w:r w:rsidRPr="001649DE">
        <w:t>seismic data. Interpretation of that data suggests that all petroleum systems elements are developed in the Bremer Sub-basin (Cathay Petroleum and Arcadia Petroleum, 2012). This conclusion is supported by the analyses of dredge samples recovered by Geoscie</w:t>
      </w:r>
      <w:r>
        <w:t>nce Australia</w:t>
      </w:r>
      <w:r w:rsidRPr="001649DE">
        <w:t xml:space="preserve"> in 2004 which identified three oil prone potential source rock units (Ryan et al, 2005). In 2014, both exploration permits in the Bremer Sub-basin were cancelled due to the operator’s failure to attract a farm-in partner; the acreage is currently vacant.</w:t>
      </w:r>
      <w:r w:rsidR="007C5141" w:rsidRPr="00002FA2">
        <w:br w:type="page"/>
      </w:r>
    </w:p>
    <w:p w14:paraId="5B663A2C" w14:textId="77777777" w:rsidR="00B940A1" w:rsidRDefault="00B940A1" w:rsidP="006D1FAE">
      <w:pPr>
        <w:pStyle w:val="Heading2"/>
      </w:pPr>
      <w:r>
        <w:lastRenderedPageBreak/>
        <w:t>Regional petroleum systems</w:t>
      </w:r>
    </w:p>
    <w:p w14:paraId="4393B11B" w14:textId="77777777" w:rsidR="006D77F1" w:rsidRPr="002F2898" w:rsidRDefault="006D77F1" w:rsidP="006D77F1">
      <w:pPr>
        <w:pStyle w:val="BodyText"/>
      </w:pPr>
      <w:r w:rsidRPr="002F2898">
        <w:t>The thick sedimentary succession in the Bight Basin and its evolution from local half-</w:t>
      </w:r>
      <w:proofErr w:type="spellStart"/>
      <w:r w:rsidRPr="002F2898">
        <w:t>graben</w:t>
      </w:r>
      <w:proofErr w:type="spellEnd"/>
      <w:r w:rsidRPr="002F2898">
        <w:t xml:space="preserve"> depocentres during the Jurassic, to an extensive sag basin in the Early Cretaceous, marine embayment and large prograding deltaic systems in the mid-Cretaceous, and passive margin during the Late Cretaceous to Holocene, implies that there is significant potential for the presence of multiple petroleum systems.</w:t>
      </w:r>
    </w:p>
    <w:p w14:paraId="13FE35B9" w14:textId="0A4FEAAC" w:rsidR="006D77F1" w:rsidRPr="002F2898" w:rsidRDefault="006D77F1" w:rsidP="006D77F1">
      <w:pPr>
        <w:pStyle w:val="BodyText"/>
        <w:rPr>
          <w:highlight w:val="yellow"/>
        </w:rPr>
      </w:pPr>
      <w:r w:rsidRPr="002F2898">
        <w:t xml:space="preserve">Although the limited exploration drilling in the basin has not resulted in a discovery, evidence for the presence of petroleum systems is provided by oil and gas shows or indications, fluid inclusion evidence of migrated hydrocarbons and </w:t>
      </w:r>
      <w:proofErr w:type="spellStart"/>
      <w:r w:rsidRPr="002F2898">
        <w:t>palaeo</w:t>
      </w:r>
      <w:proofErr w:type="spellEnd"/>
      <w:r w:rsidRPr="002F2898">
        <w:t>-oil accumulation in some wells, and seismic amplitude (including AVO) anomalies (</w:t>
      </w:r>
      <w:proofErr w:type="spellStart"/>
      <w:r w:rsidRPr="002F2898">
        <w:t>Struckmeyer</w:t>
      </w:r>
      <w:proofErr w:type="spellEnd"/>
      <w:r w:rsidRPr="002F2898">
        <w:t xml:space="preserve"> et al, 2001; </w:t>
      </w:r>
      <w:proofErr w:type="spellStart"/>
      <w:r w:rsidRPr="002F2898">
        <w:t>Ruble</w:t>
      </w:r>
      <w:proofErr w:type="spellEnd"/>
      <w:r w:rsidRPr="002F2898">
        <w:t xml:space="preserve"> et al, 2001; </w:t>
      </w:r>
      <w:proofErr w:type="spellStart"/>
      <w:r w:rsidRPr="002F2898">
        <w:t>Tapley</w:t>
      </w:r>
      <w:proofErr w:type="spellEnd"/>
      <w:r>
        <w:t xml:space="preserve"> et al</w:t>
      </w:r>
      <w:r w:rsidRPr="002F2898">
        <w:t xml:space="preserve">, 2005; Kempton et al, 2017; </w:t>
      </w:r>
      <w:proofErr w:type="spellStart"/>
      <w:r w:rsidRPr="002F2898">
        <w:t>Rajeswaran</w:t>
      </w:r>
      <w:proofErr w:type="spellEnd"/>
      <w:r w:rsidRPr="002F2898">
        <w:t xml:space="preserve"> and </w:t>
      </w:r>
      <w:proofErr w:type="spellStart"/>
      <w:r w:rsidRPr="002F2898">
        <w:t>Przywara</w:t>
      </w:r>
      <w:proofErr w:type="spellEnd"/>
      <w:r w:rsidRPr="002F2898">
        <w:t xml:space="preserve">, 2017). Seepage of hydrocarbons from the basin is supported by the presence of </w:t>
      </w:r>
      <w:proofErr w:type="spellStart"/>
      <w:r w:rsidRPr="002F2898">
        <w:t>bitumens</w:t>
      </w:r>
      <w:proofErr w:type="spellEnd"/>
      <w:r w:rsidRPr="002F2898">
        <w:t>/</w:t>
      </w:r>
      <w:proofErr w:type="spellStart"/>
      <w:r w:rsidRPr="002F2898">
        <w:t>asphaltites</w:t>
      </w:r>
      <w:proofErr w:type="spellEnd"/>
      <w:r w:rsidRPr="002F2898">
        <w:t xml:space="preserve"> stranded on beaches around the Great Australian Bight, fault-related biogenic mounds interpreted on seismic data, and remotely sensed indications of seepage (Edwards et al, 1998; </w:t>
      </w:r>
      <w:proofErr w:type="spellStart"/>
      <w:r w:rsidRPr="002F2898">
        <w:t>Struckmeyer</w:t>
      </w:r>
      <w:proofErr w:type="spellEnd"/>
      <w:r w:rsidRPr="002F2898">
        <w:t xml:space="preserve"> et al, 2001; </w:t>
      </w:r>
      <w:r>
        <w:t xml:space="preserve">Edwards et al, 2016; </w:t>
      </w:r>
      <w:proofErr w:type="spellStart"/>
      <w:r w:rsidRPr="002F2898">
        <w:t>Langhi</w:t>
      </w:r>
      <w:proofErr w:type="spellEnd"/>
      <w:r w:rsidRPr="002F2898">
        <w:t xml:space="preserve"> et al, 2016</w:t>
      </w:r>
      <w:r>
        <w:t>; Ross and Kempton, 2017; Edwards et al, 2018</w:t>
      </w:r>
      <w:r w:rsidRPr="002F2898">
        <w:t>).</w:t>
      </w:r>
    </w:p>
    <w:p w14:paraId="1A5FB6AD" w14:textId="7E74CECA" w:rsidR="006D77F1" w:rsidRPr="000B7330" w:rsidRDefault="000B7330" w:rsidP="000B7330">
      <w:pPr>
        <w:pStyle w:val="Heading4"/>
      </w:pPr>
      <w:r>
        <w:t>Petroleum System</w:t>
      </w:r>
      <w:r w:rsidR="00EA51A7">
        <w:t>s</w:t>
      </w:r>
      <w:r>
        <w:t xml:space="preserve"> Elements</w:t>
      </w:r>
    </w:p>
    <w:tbl>
      <w:tblPr>
        <w:tblStyle w:val="PetroleumSystemsTable"/>
        <w:tblW w:w="0" w:type="auto"/>
        <w:tblLook w:val="01E0" w:firstRow="1" w:lastRow="1" w:firstColumn="1" w:lastColumn="1" w:noHBand="0" w:noVBand="0"/>
        <w:tblCaption w:val="Barcoo Sub-basin"/>
        <w:tblDescription w:val="Petroleum system elements table listing - Sources, Reservoirs, Seals and Traps"/>
      </w:tblPr>
      <w:tblGrid>
        <w:gridCol w:w="1191"/>
        <w:gridCol w:w="8505"/>
      </w:tblGrid>
      <w:tr w:rsidR="006D77F1" w:rsidRPr="00F72B3E" w14:paraId="775DA0CA" w14:textId="77777777" w:rsidTr="00C922D3">
        <w:tc>
          <w:tcPr>
            <w:cnfStyle w:val="001000000000" w:firstRow="0" w:lastRow="0" w:firstColumn="1" w:lastColumn="0" w:oddVBand="0" w:evenVBand="0" w:oddHBand="0" w:evenHBand="0" w:firstRowFirstColumn="0" w:firstRowLastColumn="0" w:lastRowFirstColumn="0" w:lastRowLastColumn="0"/>
            <w:tcW w:w="1191" w:type="dxa"/>
          </w:tcPr>
          <w:p w14:paraId="64EFD4BA" w14:textId="77777777" w:rsidR="006D77F1" w:rsidRPr="00ED4EBE" w:rsidRDefault="006D77F1" w:rsidP="00C922D3">
            <w:pPr>
              <w:pStyle w:val="TableHeader"/>
              <w:rPr>
                <w:b/>
              </w:rPr>
            </w:pPr>
            <w:r w:rsidRPr="00ED4EBE">
              <w:t>Sources</w:t>
            </w:r>
          </w:p>
        </w:tc>
        <w:tc>
          <w:tcPr>
            <w:tcW w:w="8505" w:type="dxa"/>
          </w:tcPr>
          <w:p w14:paraId="1FF43C52" w14:textId="313DFE78" w:rsidR="001D3DF3" w:rsidRPr="001D3DF3" w:rsidRDefault="001D3DF3" w:rsidP="001D3DF3">
            <w:pPr>
              <w:pStyle w:val="TableBullet"/>
              <w:cnfStyle w:val="000000000000" w:firstRow="0" w:lastRow="0" w:firstColumn="0" w:lastColumn="0" w:oddVBand="0" w:evenVBand="0" w:oddHBand="0" w:evenHBand="0" w:firstRowFirstColumn="0" w:firstRowLastColumn="0" w:lastRowFirstColumn="0" w:lastRowLastColumn="0"/>
            </w:pPr>
            <w:r>
              <w:t>Oxfordian–</w:t>
            </w:r>
            <w:proofErr w:type="spellStart"/>
            <w:r>
              <w:t>Berriasian</w:t>
            </w:r>
            <w:proofErr w:type="spellEnd"/>
            <w:r>
              <w:t xml:space="preserve"> Sea Lion and </w:t>
            </w:r>
            <w:proofErr w:type="spellStart"/>
            <w:r>
              <w:t>Minke</w:t>
            </w:r>
            <w:proofErr w:type="spellEnd"/>
            <w:r>
              <w:t xml:space="preserve"> Supersequence </w:t>
            </w:r>
            <w:r w:rsidRPr="001D3DF3">
              <w:rPr>
                <w:szCs w:val="18"/>
              </w:rPr>
              <w:t>lacustrine shale and coal</w:t>
            </w:r>
          </w:p>
          <w:p w14:paraId="5FC0C127" w14:textId="6EAA8D1B" w:rsidR="006D77F1" w:rsidRDefault="006D77F1" w:rsidP="006326B5">
            <w:pPr>
              <w:pStyle w:val="TableBullet"/>
              <w:numPr>
                <w:ilvl w:val="0"/>
                <w:numId w:val="3"/>
              </w:numPr>
              <w:cnfStyle w:val="000000000000" w:firstRow="0" w:lastRow="0" w:firstColumn="0" w:lastColumn="0" w:oddVBand="0" w:evenVBand="0" w:oddHBand="0" w:evenHBand="0" w:firstRowFirstColumn="0" w:firstRowLastColumn="0" w:lastRowFirstColumn="0" w:lastRowLastColumn="0"/>
              <w:rPr>
                <w:szCs w:val="18"/>
              </w:rPr>
            </w:pPr>
            <w:r>
              <w:t>Turonian–Santonian Tiger Supersequence marine shales</w:t>
            </w:r>
          </w:p>
          <w:p w14:paraId="00BEF05B" w14:textId="77777777" w:rsidR="006D77F1" w:rsidRDefault="006D77F1" w:rsidP="006326B5">
            <w:pPr>
              <w:pStyle w:val="TableBullet"/>
              <w:numPr>
                <w:ilvl w:val="0"/>
                <w:numId w:val="3"/>
              </w:numPr>
              <w:cnfStyle w:val="000000000000" w:firstRow="0" w:lastRow="0" w:firstColumn="0" w:lastColumn="0" w:oddVBand="0" w:evenVBand="0" w:oddHBand="0" w:evenHBand="0" w:firstRowFirstColumn="0" w:firstRowLastColumn="0" w:lastRowFirstColumn="0" w:lastRowLastColumn="0"/>
              <w:rPr>
                <w:szCs w:val="18"/>
              </w:rPr>
            </w:pPr>
            <w:r>
              <w:t xml:space="preserve">Cenomanian White Pointer Supersequence coals </w:t>
            </w:r>
          </w:p>
          <w:p w14:paraId="381777D9" w14:textId="77777777" w:rsidR="006D77F1" w:rsidRPr="005E4E2E" w:rsidRDefault="006D77F1" w:rsidP="006326B5">
            <w:pPr>
              <w:pStyle w:val="TableBullet"/>
              <w:numPr>
                <w:ilvl w:val="0"/>
                <w:numId w:val="3"/>
              </w:numPr>
              <w:cnfStyle w:val="000000000000" w:firstRow="0" w:lastRow="0" w:firstColumn="0" w:lastColumn="0" w:oddVBand="0" w:evenVBand="0" w:oddHBand="0" w:evenHBand="0" w:firstRowFirstColumn="0" w:firstRowLastColumn="0" w:lastRowFirstColumn="0" w:lastRowLastColumn="0"/>
            </w:pPr>
            <w:proofErr w:type="spellStart"/>
            <w:r>
              <w:t>Albian</w:t>
            </w:r>
            <w:proofErr w:type="spellEnd"/>
            <w:r>
              <w:t>–lower Cenomanian Blue Whale Supersequence marine shales</w:t>
            </w:r>
          </w:p>
        </w:tc>
      </w:tr>
      <w:tr w:rsidR="006D77F1" w:rsidRPr="00F72B3E" w14:paraId="4641C424" w14:textId="77777777" w:rsidTr="00C922D3">
        <w:tc>
          <w:tcPr>
            <w:cnfStyle w:val="001000000000" w:firstRow="0" w:lastRow="0" w:firstColumn="1" w:lastColumn="0" w:oddVBand="0" w:evenVBand="0" w:oddHBand="0" w:evenHBand="0" w:firstRowFirstColumn="0" w:firstRowLastColumn="0" w:lastRowFirstColumn="0" w:lastRowLastColumn="0"/>
            <w:tcW w:w="1191" w:type="dxa"/>
          </w:tcPr>
          <w:p w14:paraId="5DEE4C55" w14:textId="77777777" w:rsidR="006D77F1" w:rsidRPr="00240F23" w:rsidRDefault="006D77F1" w:rsidP="00C922D3">
            <w:pPr>
              <w:pStyle w:val="TableHeader"/>
            </w:pPr>
            <w:r w:rsidRPr="00240F23">
              <w:t>Reservoirs</w:t>
            </w:r>
          </w:p>
        </w:tc>
        <w:tc>
          <w:tcPr>
            <w:tcW w:w="8505" w:type="dxa"/>
          </w:tcPr>
          <w:p w14:paraId="19F348E6" w14:textId="77777777" w:rsidR="006D77F1" w:rsidRDefault="006D77F1" w:rsidP="006326B5">
            <w:pPr>
              <w:pStyle w:val="TableBullet"/>
              <w:numPr>
                <w:ilvl w:val="0"/>
                <w:numId w:val="3"/>
              </w:numPr>
              <w:cnfStyle w:val="000000000000" w:firstRow="0" w:lastRow="0" w:firstColumn="0" w:lastColumn="0" w:oddVBand="0" w:evenVBand="0" w:oddHBand="0" w:evenHBand="0" w:firstRowFirstColumn="0" w:firstRowLastColumn="0" w:lastRowFirstColumn="0" w:lastRowLastColumn="0"/>
            </w:pPr>
            <w:r>
              <w:t>Upper Santonian to Maastrichtian Hammerhead Supersequence deltaic and shallow marine sandstones</w:t>
            </w:r>
          </w:p>
          <w:p w14:paraId="2540683D" w14:textId="77777777" w:rsidR="006D77F1" w:rsidRDefault="006D77F1" w:rsidP="006326B5">
            <w:pPr>
              <w:pStyle w:val="TableBullet"/>
              <w:numPr>
                <w:ilvl w:val="0"/>
                <w:numId w:val="3"/>
              </w:numPr>
              <w:cnfStyle w:val="000000000000" w:firstRow="0" w:lastRow="0" w:firstColumn="0" w:lastColumn="0" w:oddVBand="0" w:evenVBand="0" w:oddHBand="0" w:evenHBand="0" w:firstRowFirstColumn="0" w:firstRowLastColumn="0" w:lastRowFirstColumn="0" w:lastRowLastColumn="0"/>
            </w:pPr>
            <w:r>
              <w:t>Turonian to Santonian Tiger Supersequence shallow marine sandstones</w:t>
            </w:r>
          </w:p>
          <w:p w14:paraId="32EBA6FB" w14:textId="77777777" w:rsidR="006D77F1" w:rsidRDefault="006D77F1" w:rsidP="006326B5">
            <w:pPr>
              <w:pStyle w:val="TableBullet"/>
              <w:numPr>
                <w:ilvl w:val="0"/>
                <w:numId w:val="3"/>
              </w:numPr>
              <w:cnfStyle w:val="000000000000" w:firstRow="0" w:lastRow="0" w:firstColumn="0" w:lastColumn="0" w:oddVBand="0" w:evenVBand="0" w:oddHBand="0" w:evenHBand="0" w:firstRowFirstColumn="0" w:firstRowLastColumn="0" w:lastRowFirstColumn="0" w:lastRowLastColumn="0"/>
            </w:pPr>
            <w:r>
              <w:t>Cenomanian White Pointer Supersequence</w:t>
            </w:r>
          </w:p>
          <w:p w14:paraId="1571B537" w14:textId="77777777" w:rsidR="006D77F1" w:rsidRPr="0061145B" w:rsidRDefault="006D77F1" w:rsidP="006326B5">
            <w:pPr>
              <w:pStyle w:val="TableBullet"/>
              <w:numPr>
                <w:ilvl w:val="0"/>
                <w:numId w:val="3"/>
              </w:numPr>
              <w:cnfStyle w:val="000000000000" w:firstRow="0" w:lastRow="0" w:firstColumn="0" w:lastColumn="0" w:oddVBand="0" w:evenVBand="0" w:oddHBand="0" w:evenHBand="0" w:firstRowFirstColumn="0" w:firstRowLastColumn="0" w:lastRowFirstColumn="0" w:lastRowLastColumn="0"/>
            </w:pPr>
            <w:r>
              <w:t xml:space="preserve">Valanginian to </w:t>
            </w:r>
            <w:proofErr w:type="spellStart"/>
            <w:r>
              <w:t>Albian</w:t>
            </w:r>
            <w:proofErr w:type="spellEnd"/>
            <w:r>
              <w:t xml:space="preserve"> Bronze Whaler Supersequence</w:t>
            </w:r>
          </w:p>
        </w:tc>
      </w:tr>
      <w:tr w:rsidR="006D77F1" w:rsidRPr="00F72B3E" w14:paraId="373F904B" w14:textId="77777777" w:rsidTr="00C922D3">
        <w:tc>
          <w:tcPr>
            <w:cnfStyle w:val="001000000000" w:firstRow="0" w:lastRow="0" w:firstColumn="1" w:lastColumn="0" w:oddVBand="0" w:evenVBand="0" w:oddHBand="0" w:evenHBand="0" w:firstRowFirstColumn="0" w:firstRowLastColumn="0" w:lastRowFirstColumn="0" w:lastRowLastColumn="0"/>
            <w:tcW w:w="1191" w:type="dxa"/>
          </w:tcPr>
          <w:p w14:paraId="640E65A7" w14:textId="77777777" w:rsidR="006D77F1" w:rsidRPr="00240F23" w:rsidRDefault="006D77F1" w:rsidP="00C922D3">
            <w:pPr>
              <w:pStyle w:val="TableHeader"/>
            </w:pPr>
            <w:r w:rsidRPr="00240F23">
              <w:t>Seals</w:t>
            </w:r>
          </w:p>
        </w:tc>
        <w:tc>
          <w:tcPr>
            <w:tcW w:w="8505" w:type="dxa"/>
          </w:tcPr>
          <w:p w14:paraId="175EA9F0" w14:textId="77777777" w:rsidR="006D77F1" w:rsidRDefault="006D77F1" w:rsidP="00C922D3">
            <w:pPr>
              <w:pStyle w:val="TableItalic"/>
              <w:cnfStyle w:val="000000000000" w:firstRow="0" w:lastRow="0" w:firstColumn="0" w:lastColumn="0" w:oddVBand="0" w:evenVBand="0" w:oddHBand="0" w:evenHBand="0" w:firstRowFirstColumn="0" w:firstRowLastColumn="0" w:lastRowFirstColumn="0" w:lastRowLastColumn="0"/>
              <w:rPr>
                <w:lang w:eastAsia="en-US"/>
              </w:rPr>
            </w:pPr>
            <w:r>
              <w:rPr>
                <w:lang w:eastAsia="en-US"/>
              </w:rPr>
              <w:t>Regional seals</w:t>
            </w:r>
          </w:p>
          <w:p w14:paraId="25AA0FBD" w14:textId="77777777" w:rsidR="006D77F1" w:rsidRDefault="006D77F1" w:rsidP="006326B5">
            <w:pPr>
              <w:pStyle w:val="TableBullet"/>
              <w:numPr>
                <w:ilvl w:val="0"/>
                <w:numId w:val="3"/>
              </w:numPr>
              <w:ind w:left="652" w:hanging="425"/>
              <w:cnfStyle w:val="000000000000" w:firstRow="0" w:lastRow="0" w:firstColumn="0" w:lastColumn="0" w:oddVBand="0" w:evenVBand="0" w:oddHBand="0" w:evenHBand="0" w:firstRowFirstColumn="0" w:firstRowLastColumn="0" w:lastRowFirstColumn="0" w:lastRowLastColumn="0"/>
              <w:rPr>
                <w:lang w:eastAsia="en-US"/>
              </w:rPr>
            </w:pPr>
            <w:r>
              <w:rPr>
                <w:lang w:eastAsia="en-US"/>
              </w:rPr>
              <w:t>Middle Eocene to Holocene Dugong Supersequence marls and limestone</w:t>
            </w:r>
          </w:p>
          <w:p w14:paraId="082A9E4E" w14:textId="77777777" w:rsidR="006D77F1" w:rsidRDefault="006D77F1" w:rsidP="006326B5">
            <w:pPr>
              <w:pStyle w:val="TableBullet"/>
              <w:numPr>
                <w:ilvl w:val="0"/>
                <w:numId w:val="3"/>
              </w:numPr>
              <w:ind w:left="652" w:hanging="425"/>
              <w:cnfStyle w:val="000000000000" w:firstRow="0" w:lastRow="0" w:firstColumn="0" w:lastColumn="0" w:oddVBand="0" w:evenVBand="0" w:oddHBand="0" w:evenHBand="0" w:firstRowFirstColumn="0" w:firstRowLastColumn="0" w:lastRowFirstColumn="0" w:lastRowLastColumn="0"/>
              <w:rPr>
                <w:lang w:eastAsia="en-US"/>
              </w:rPr>
            </w:pPr>
            <w:r>
              <w:rPr>
                <w:lang w:eastAsia="en-US"/>
              </w:rPr>
              <w:t>Turonian–Santonian Tiger Supersequence marine shales</w:t>
            </w:r>
          </w:p>
          <w:p w14:paraId="6607C53D" w14:textId="77777777" w:rsidR="006D77F1" w:rsidRDefault="006D77F1" w:rsidP="006326B5">
            <w:pPr>
              <w:pStyle w:val="TableBullet"/>
              <w:numPr>
                <w:ilvl w:val="0"/>
                <w:numId w:val="3"/>
              </w:numPr>
              <w:ind w:left="652" w:hanging="425"/>
              <w:cnfStyle w:val="000000000000" w:firstRow="0" w:lastRow="0" w:firstColumn="0" w:lastColumn="0" w:oddVBand="0" w:evenVBand="0" w:oddHBand="0" w:evenHBand="0" w:firstRowFirstColumn="0" w:firstRowLastColumn="0" w:lastRowFirstColumn="0" w:lastRowLastColumn="0"/>
              <w:rPr>
                <w:lang w:eastAsia="en-US"/>
              </w:rPr>
            </w:pPr>
            <w:proofErr w:type="spellStart"/>
            <w:r>
              <w:rPr>
                <w:lang w:eastAsia="en-US"/>
              </w:rPr>
              <w:t>Albian</w:t>
            </w:r>
            <w:proofErr w:type="spellEnd"/>
            <w:r>
              <w:rPr>
                <w:lang w:eastAsia="en-US"/>
              </w:rPr>
              <w:t>–lower Cenomanian Blue Whale Supersequence marine shales</w:t>
            </w:r>
          </w:p>
          <w:p w14:paraId="5326AA1F" w14:textId="77777777" w:rsidR="006D77F1" w:rsidRDefault="006D77F1" w:rsidP="00C922D3">
            <w:pPr>
              <w:pStyle w:val="TableItalic"/>
              <w:cnfStyle w:val="000000000000" w:firstRow="0" w:lastRow="0" w:firstColumn="0" w:lastColumn="0" w:oddVBand="0" w:evenVBand="0" w:oddHBand="0" w:evenHBand="0" w:firstRowFirstColumn="0" w:firstRowLastColumn="0" w:lastRowFirstColumn="0" w:lastRowLastColumn="0"/>
              <w:rPr>
                <w:lang w:eastAsia="en-US"/>
              </w:rPr>
            </w:pPr>
            <w:r>
              <w:rPr>
                <w:lang w:eastAsia="en-US"/>
              </w:rPr>
              <w:t>Intraformational seals</w:t>
            </w:r>
          </w:p>
          <w:p w14:paraId="0D5955DC" w14:textId="77777777" w:rsidR="006D77F1" w:rsidRPr="00CD4128" w:rsidRDefault="006D77F1" w:rsidP="006326B5">
            <w:pPr>
              <w:pStyle w:val="TableBullet"/>
              <w:numPr>
                <w:ilvl w:val="0"/>
                <w:numId w:val="3"/>
              </w:numPr>
              <w:ind w:hanging="416"/>
              <w:cnfStyle w:val="000000000000" w:firstRow="0" w:lastRow="0" w:firstColumn="0" w:lastColumn="0" w:oddVBand="0" w:evenVBand="0" w:oddHBand="0" w:evenHBand="0" w:firstRowFirstColumn="0" w:firstRowLastColumn="0" w:lastRowFirstColumn="0" w:lastRowLastColumn="0"/>
            </w:pPr>
            <w:r>
              <w:rPr>
                <w:lang w:eastAsia="en-US"/>
              </w:rPr>
              <w:t>Upper Santonian to Maastrichtian Hammerhead Supersequence marine shales</w:t>
            </w:r>
          </w:p>
        </w:tc>
      </w:tr>
      <w:tr w:rsidR="006D77F1" w:rsidRPr="00F72B3E" w14:paraId="3BACF423" w14:textId="77777777" w:rsidTr="00C922D3">
        <w:tc>
          <w:tcPr>
            <w:cnfStyle w:val="001000000000" w:firstRow="0" w:lastRow="0" w:firstColumn="1" w:lastColumn="0" w:oddVBand="0" w:evenVBand="0" w:oddHBand="0" w:evenHBand="0" w:firstRowFirstColumn="0" w:firstRowLastColumn="0" w:lastRowFirstColumn="0" w:lastRowLastColumn="0"/>
            <w:tcW w:w="1191" w:type="dxa"/>
          </w:tcPr>
          <w:p w14:paraId="1C8F7001" w14:textId="77777777" w:rsidR="006D77F1" w:rsidRPr="00240F23" w:rsidRDefault="006D77F1" w:rsidP="00C922D3">
            <w:pPr>
              <w:pStyle w:val="TableHeader"/>
            </w:pPr>
            <w:r w:rsidRPr="00240F23">
              <w:t>Traps</w:t>
            </w:r>
          </w:p>
        </w:tc>
        <w:tc>
          <w:tcPr>
            <w:tcW w:w="8505" w:type="dxa"/>
          </w:tcPr>
          <w:p w14:paraId="45C89946" w14:textId="195C410E" w:rsidR="006D77F1" w:rsidRPr="0061145B" w:rsidRDefault="006D77F1" w:rsidP="008220B8">
            <w:pPr>
              <w:pStyle w:val="TableBullet"/>
              <w:numPr>
                <w:ilvl w:val="0"/>
                <w:numId w:val="3"/>
              </w:numPr>
              <w:ind w:hanging="416"/>
              <w:cnfStyle w:val="000000000000" w:firstRow="0" w:lastRow="0" w:firstColumn="0" w:lastColumn="0" w:oddVBand="0" w:evenVBand="0" w:oddHBand="0" w:evenHBand="0" w:firstRowFirstColumn="0" w:firstRowLastColumn="0" w:lastRowFirstColumn="0" w:lastRowLastColumn="0"/>
            </w:pPr>
            <w:r>
              <w:rPr>
                <w:lang w:eastAsia="en-US"/>
              </w:rPr>
              <w:t xml:space="preserve">fault-related hanging wall and footwall traps with either rollovers or dip closures, </w:t>
            </w:r>
            <w:proofErr w:type="spellStart"/>
            <w:r>
              <w:rPr>
                <w:lang w:eastAsia="en-US"/>
              </w:rPr>
              <w:t>lowside</w:t>
            </w:r>
            <w:proofErr w:type="spellEnd"/>
            <w:r>
              <w:rPr>
                <w:lang w:eastAsia="en-US"/>
              </w:rPr>
              <w:t xml:space="preserve"> and </w:t>
            </w:r>
            <w:proofErr w:type="spellStart"/>
            <w:r>
              <w:rPr>
                <w:lang w:eastAsia="en-US"/>
              </w:rPr>
              <w:t>highside</w:t>
            </w:r>
            <w:proofErr w:type="spellEnd"/>
            <w:r>
              <w:rPr>
                <w:lang w:eastAsia="en-US"/>
              </w:rPr>
              <w:t xml:space="preserve"> fault-related traps,</w:t>
            </w:r>
            <w:r w:rsidR="008220B8">
              <w:rPr>
                <w:lang w:eastAsia="en-US"/>
              </w:rPr>
              <w:t xml:space="preserve"> structural and stratigraphic traps associated with </w:t>
            </w:r>
            <w:r>
              <w:rPr>
                <w:lang w:eastAsia="en-US"/>
              </w:rPr>
              <w:t xml:space="preserve">Middle Jurassic–Early Cretaceous half </w:t>
            </w:r>
            <w:proofErr w:type="spellStart"/>
            <w:r>
              <w:rPr>
                <w:lang w:eastAsia="en-US"/>
              </w:rPr>
              <w:t>graben</w:t>
            </w:r>
            <w:proofErr w:type="spellEnd"/>
          </w:p>
        </w:tc>
      </w:tr>
    </w:tbl>
    <w:p w14:paraId="751EB728" w14:textId="77777777" w:rsidR="006D77F1" w:rsidRPr="00C54D2A" w:rsidRDefault="006D77F1" w:rsidP="006D77F1">
      <w:pPr>
        <w:pStyle w:val="Heading3"/>
      </w:pPr>
      <w:r>
        <w:t xml:space="preserve">Source </w:t>
      </w:r>
      <w:r w:rsidRPr="006D77F1">
        <w:t>Rocks</w:t>
      </w:r>
    </w:p>
    <w:p w14:paraId="36656E92" w14:textId="73157BE5" w:rsidR="006D77F1" w:rsidRPr="009532BD" w:rsidRDefault="006D77F1" w:rsidP="00B258D0">
      <w:pPr>
        <w:pStyle w:val="BodyText"/>
      </w:pPr>
      <w:r w:rsidRPr="009532BD">
        <w:t>In depocentres within the eastern Bight Basin (Ceduna, Eyre and Duntroon sub-basins), regional sequence stratigraphic analysis suggests the presence of at least eight potential source rock units at different stratigraphic levels (</w:t>
      </w:r>
      <w:proofErr w:type="spellStart"/>
      <w:r w:rsidRPr="009532BD">
        <w:t>Blevin</w:t>
      </w:r>
      <w:proofErr w:type="spellEnd"/>
      <w:r w:rsidRPr="009532BD">
        <w:t xml:space="preserve"> et al, 2000; </w:t>
      </w:r>
      <w:proofErr w:type="spellStart"/>
      <w:r w:rsidRPr="009532BD">
        <w:t>Totterdell</w:t>
      </w:r>
      <w:proofErr w:type="spellEnd"/>
      <w:r w:rsidRPr="009532BD">
        <w:t xml:space="preserve"> et al, 2000; </w:t>
      </w:r>
      <w:proofErr w:type="spellStart"/>
      <w:r w:rsidRPr="009532BD">
        <w:t>Struckmeyer</w:t>
      </w:r>
      <w:proofErr w:type="spellEnd"/>
      <w:r w:rsidRPr="009532BD">
        <w:t xml:space="preserve"> et al, 2001; </w:t>
      </w:r>
      <w:proofErr w:type="spellStart"/>
      <w:r w:rsidRPr="009532BD">
        <w:t>Boreham</w:t>
      </w:r>
      <w:proofErr w:type="spellEnd"/>
      <w:r w:rsidRPr="009532BD">
        <w:t xml:space="preserve"> et al, 2001). These include Upper Jurassic </w:t>
      </w:r>
      <w:proofErr w:type="spellStart"/>
      <w:r w:rsidRPr="009532BD">
        <w:t>syn</w:t>
      </w:r>
      <w:proofErr w:type="spellEnd"/>
      <w:r w:rsidRPr="009532BD">
        <w:t>-rift lacustrine shale, Lower Cretaceous fluvial and lacustrine deposits, Aptian–</w:t>
      </w:r>
      <w:proofErr w:type="spellStart"/>
      <w:r w:rsidRPr="009532BD">
        <w:t>Albian</w:t>
      </w:r>
      <w:proofErr w:type="spellEnd"/>
      <w:r w:rsidRPr="009532BD">
        <w:t xml:space="preserve"> marginal marine to coastal plain mudstone and coal, </w:t>
      </w:r>
      <w:proofErr w:type="spellStart"/>
      <w:r w:rsidRPr="009532BD">
        <w:t>Albian</w:t>
      </w:r>
      <w:proofErr w:type="spellEnd"/>
      <w:r w:rsidRPr="009532BD">
        <w:t xml:space="preserve">–Cenomanian and Turonian–Santonian marine shale, Cenomanian deltaic and shallow marine shale and coal, and Santonian–Campanian </w:t>
      </w:r>
      <w:proofErr w:type="spellStart"/>
      <w:r w:rsidRPr="009532BD">
        <w:t>prodelta</w:t>
      </w:r>
      <w:proofErr w:type="spellEnd"/>
      <w:r w:rsidRPr="009532BD">
        <w:t xml:space="preserve"> shales</w:t>
      </w:r>
      <w:r w:rsidR="006C6577">
        <w:t xml:space="preserve"> (</w:t>
      </w:r>
      <w:r w:rsidR="00FE28EC" w:rsidRPr="006C6577">
        <w:rPr>
          <w:b/>
        </w:rPr>
        <w:t>Figur</w:t>
      </w:r>
      <w:r w:rsidR="00FE28EC">
        <w:rPr>
          <w:b/>
        </w:rPr>
        <w:t>e </w:t>
      </w:r>
      <w:r w:rsidR="00E53B3D">
        <w:rPr>
          <w:b/>
        </w:rPr>
        <w:t>10</w:t>
      </w:r>
      <w:r w:rsidR="006C6577" w:rsidRPr="006C6577">
        <w:t>)</w:t>
      </w:r>
      <w:r w:rsidRPr="006C6577">
        <w:t>.</w:t>
      </w:r>
      <w:r w:rsidR="005D61A4">
        <w:t xml:space="preserve"> </w:t>
      </w:r>
      <w:r w:rsidR="00FB4956">
        <w:t xml:space="preserve">Recent regional studies of the </w:t>
      </w:r>
      <w:proofErr w:type="spellStart"/>
      <w:r w:rsidR="00FB4956">
        <w:t>paleodepositional</w:t>
      </w:r>
      <w:proofErr w:type="spellEnd"/>
      <w:r w:rsidR="00FB4956">
        <w:t xml:space="preserve"> environments, that included high</w:t>
      </w:r>
      <w:r w:rsidR="00347638">
        <w:t>-resolution 3D seismic-</w:t>
      </w:r>
      <w:r w:rsidR="00FB4956">
        <w:t>facies interpretation</w:t>
      </w:r>
      <w:r w:rsidR="00E81807">
        <w:t>s</w:t>
      </w:r>
      <w:r w:rsidR="00B258D0">
        <w:t xml:space="preserve"> linked to analysis of the structural development of the basin and available well data</w:t>
      </w:r>
      <w:r w:rsidR="00FB4956">
        <w:t xml:space="preserve">, </w:t>
      </w:r>
      <w:r w:rsidR="00212EF3">
        <w:t xml:space="preserve">further </w:t>
      </w:r>
      <w:r w:rsidR="00FB4956">
        <w:t xml:space="preserve">supports the presence of multiple </w:t>
      </w:r>
      <w:r w:rsidR="00E81807">
        <w:t>source rocks within the Cretaceous sequences (</w:t>
      </w:r>
      <w:proofErr w:type="spellStart"/>
      <w:r w:rsidR="00E81807" w:rsidRPr="0016137C">
        <w:t>Klauser-Baumgärtner</w:t>
      </w:r>
      <w:proofErr w:type="spellEnd"/>
      <w:r w:rsidR="00E81807">
        <w:t xml:space="preserve"> et al, 2019</w:t>
      </w:r>
      <w:r w:rsidR="00B258D0">
        <w:t xml:space="preserve">; </w:t>
      </w:r>
      <w:proofErr w:type="spellStart"/>
      <w:r w:rsidR="00B258D0" w:rsidRPr="00FF0D5B">
        <w:t>Strømsøyen</w:t>
      </w:r>
      <w:proofErr w:type="spellEnd"/>
      <w:r w:rsidR="00B258D0">
        <w:t xml:space="preserve"> et al, 2019</w:t>
      </w:r>
      <w:r w:rsidR="00E81807">
        <w:t>)</w:t>
      </w:r>
      <w:r w:rsidR="00347638">
        <w:t>.</w:t>
      </w:r>
    </w:p>
    <w:p w14:paraId="6C4FA663" w14:textId="77777777" w:rsidR="006D77F1" w:rsidRPr="009532BD" w:rsidRDefault="006D77F1" w:rsidP="006D77F1">
      <w:pPr>
        <w:pStyle w:val="BodyText"/>
      </w:pPr>
      <w:r w:rsidRPr="009532BD">
        <w:t xml:space="preserve">While the Jurassic–Lower Cretaceous non-marine source rocks are important in the shallower, more proximal parts of the basin, the key to the petroleum prospectivity of the region resides in Upper Cretaceous marine and deltaic facies. Dredge samples of upper Cenomanian–Turonian organic-rich marine rocks have confirmed </w:t>
      </w:r>
      <w:r w:rsidRPr="009532BD">
        <w:lastRenderedPageBreak/>
        <w:t>the presence of high quality source rocks in the basin significantly reducing exploration risk (</w:t>
      </w:r>
      <w:proofErr w:type="spellStart"/>
      <w:r w:rsidRPr="009532BD">
        <w:t>Totterdell</w:t>
      </w:r>
      <w:proofErr w:type="spellEnd"/>
      <w:r w:rsidRPr="009532BD">
        <w:t xml:space="preserve"> et al, 2008; </w:t>
      </w:r>
      <w:proofErr w:type="spellStart"/>
      <w:r w:rsidRPr="009532BD">
        <w:t>Boreham</w:t>
      </w:r>
      <w:proofErr w:type="spellEnd"/>
      <w:r w:rsidRPr="009532BD">
        <w:t>, 2009).</w:t>
      </w:r>
    </w:p>
    <w:p w14:paraId="46AF0B84" w14:textId="6819C8B6" w:rsidR="006D77F1" w:rsidRDefault="006D77F1" w:rsidP="006D77F1">
      <w:pPr>
        <w:pStyle w:val="BodyText"/>
      </w:pPr>
      <w:r w:rsidRPr="009532BD">
        <w:t xml:space="preserve">No wells have been drilled in the Bremer Sub-basin, so assessment of its hydrocarbon potential is dependent on the tectonostratigraphic interpretation </w:t>
      </w:r>
      <w:r w:rsidR="006C6577">
        <w:t>(</w:t>
      </w:r>
      <w:r w:rsidR="006C6577" w:rsidRPr="006C6577">
        <w:rPr>
          <w:b/>
        </w:rPr>
        <w:t>Figure </w:t>
      </w:r>
      <w:r w:rsidR="00E53B3D">
        <w:rPr>
          <w:b/>
        </w:rPr>
        <w:t>8</w:t>
      </w:r>
      <w:r w:rsidR="00E53B3D" w:rsidRPr="00E53B3D">
        <w:t xml:space="preserve">, </w:t>
      </w:r>
      <w:r w:rsidR="00E53B3D">
        <w:rPr>
          <w:b/>
        </w:rPr>
        <w:t>Figure 4</w:t>
      </w:r>
      <w:r w:rsidR="006C6577">
        <w:t xml:space="preserve">) </w:t>
      </w:r>
      <w:r w:rsidRPr="009532BD">
        <w:t>of 2D</w:t>
      </w:r>
      <w:r>
        <w:t> </w:t>
      </w:r>
      <w:r w:rsidRPr="009532BD">
        <w:t>seismic data and samples from 45</w:t>
      </w:r>
      <w:r>
        <w:t> </w:t>
      </w:r>
      <w:r w:rsidRPr="009532BD">
        <w:t>dredge sites, and comparisons with adjacent depocentres in the eastern Bight and Perth basins. Ryan et al (2005) concluded that these data support the presence of all essential petroleum systems elements, and that the sub-basin is prospective for hydrocarbons.</w:t>
      </w:r>
    </w:p>
    <w:p w14:paraId="4459A1FE" w14:textId="77777777" w:rsidR="006D77F1" w:rsidRPr="00306A58" w:rsidRDefault="006D77F1" w:rsidP="006D77F1">
      <w:pPr>
        <w:pStyle w:val="Heading3"/>
      </w:pPr>
      <w:r>
        <w:t>Reservoirs and seals</w:t>
      </w:r>
    </w:p>
    <w:p w14:paraId="3DA85B59" w14:textId="07FBE04A" w:rsidR="006D77F1" w:rsidRPr="001649DE" w:rsidRDefault="006D77F1" w:rsidP="006D77F1">
      <w:pPr>
        <w:pStyle w:val="BodyText"/>
      </w:pPr>
      <w:r w:rsidRPr="001649DE">
        <w:t>In the Ceduna Sub-basin, excellent quality reservoir rocks and potential intraformational seals are present within the Upper Cretaceous deltaic succession, and regional seals could be provided by Upper Cretaceous marine shales</w:t>
      </w:r>
      <w:r w:rsidR="006C6577">
        <w:t xml:space="preserve"> (</w:t>
      </w:r>
      <w:r w:rsidR="00FE28EC" w:rsidRPr="006C6577">
        <w:rPr>
          <w:b/>
        </w:rPr>
        <w:t>Figur</w:t>
      </w:r>
      <w:r w:rsidR="00FE28EC">
        <w:rPr>
          <w:b/>
        </w:rPr>
        <w:t>e </w:t>
      </w:r>
      <w:r w:rsidR="00E53B3D">
        <w:rPr>
          <w:b/>
        </w:rPr>
        <w:t>10</w:t>
      </w:r>
      <w:r w:rsidR="006C6577" w:rsidRPr="006C6577">
        <w:t>)</w:t>
      </w:r>
      <w:r w:rsidRPr="001649DE">
        <w:t>. Upper Cretaceous reservoir rocks could be well developed in the proximal parts of the basin, however, the absence of competent seals constitutes a significant exploration risk in this area. Interpretation of seismic data indicates that there are numerous trap styles in the basin and some structures are associated with seismic amplitude anomalies, providing potential exploration targets. In the shallower half-</w:t>
      </w:r>
      <w:proofErr w:type="spellStart"/>
      <w:r w:rsidRPr="001649DE">
        <w:t>graben</w:t>
      </w:r>
      <w:proofErr w:type="spellEnd"/>
      <w:r w:rsidRPr="001649DE">
        <w:t xml:space="preserve"> systems of the Bremer, Eyre and Duntroon sub-basins, prospective targets comprise Upper Jurassic–Lower Cretaceous sandstones overlain by thick, dominantly lacustrine mudstone successions.</w:t>
      </w:r>
    </w:p>
    <w:p w14:paraId="7EC54982" w14:textId="77777777" w:rsidR="006D77F1" w:rsidRPr="00306A58" w:rsidRDefault="006D77F1" w:rsidP="006D77F1">
      <w:pPr>
        <w:pStyle w:val="Heading3"/>
      </w:pPr>
      <w:r>
        <w:t>Timing of generation</w:t>
      </w:r>
    </w:p>
    <w:p w14:paraId="71A1FACE" w14:textId="16690FA6" w:rsidR="006D77F1" w:rsidRPr="009532BD" w:rsidRDefault="006D77F1" w:rsidP="006D77F1">
      <w:pPr>
        <w:pStyle w:val="BodyText"/>
      </w:pPr>
      <w:r w:rsidRPr="009532BD">
        <w:t>Petroleum systems modelling (</w:t>
      </w:r>
      <w:r w:rsidR="006C6577" w:rsidRPr="006C6577">
        <w:rPr>
          <w:b/>
        </w:rPr>
        <w:t>Figur</w:t>
      </w:r>
      <w:r w:rsidR="00FE28EC">
        <w:rPr>
          <w:b/>
        </w:rPr>
        <w:t>e </w:t>
      </w:r>
      <w:r w:rsidR="00A55946">
        <w:rPr>
          <w:b/>
        </w:rPr>
        <w:t>1</w:t>
      </w:r>
      <w:r w:rsidR="00E53B3D">
        <w:rPr>
          <w:b/>
        </w:rPr>
        <w:t>1</w:t>
      </w:r>
      <w:r w:rsidR="006C6577">
        <w:t xml:space="preserve">; </w:t>
      </w:r>
      <w:proofErr w:type="spellStart"/>
      <w:r w:rsidRPr="009532BD">
        <w:t>Totterdell</w:t>
      </w:r>
      <w:proofErr w:type="spellEnd"/>
      <w:r w:rsidRPr="009532BD">
        <w:t xml:space="preserve"> et al, 2008; </w:t>
      </w:r>
      <w:proofErr w:type="spellStart"/>
      <w:r w:rsidRPr="009532BD">
        <w:t>Struckmeyer</w:t>
      </w:r>
      <w:proofErr w:type="spellEnd"/>
      <w:r w:rsidRPr="009532BD">
        <w:t>, 2009) suggests that generation and expulsion from the upper Cenomanian–lower Turonian potential source rocks in the Ceduna Sub-basin commenced in the Turonian. However, the bulk of expulsion occurred during the mid-Campanian to Holocene, after structuring related to breakup</w:t>
      </w:r>
      <w:r w:rsidR="00B25DCC">
        <w:t xml:space="preserve"> (</w:t>
      </w:r>
      <w:r w:rsidR="00B25DCC" w:rsidRPr="006C6577">
        <w:rPr>
          <w:b/>
        </w:rPr>
        <w:t>Figur</w:t>
      </w:r>
      <w:r w:rsidR="00FE28EC">
        <w:rPr>
          <w:b/>
        </w:rPr>
        <w:t>e </w:t>
      </w:r>
      <w:r w:rsidR="00E53B3D">
        <w:rPr>
          <w:b/>
        </w:rPr>
        <w:t>10</w:t>
      </w:r>
      <w:r w:rsidR="00B25DCC" w:rsidRPr="006C6577">
        <w:t>)</w:t>
      </w:r>
      <w:r w:rsidRPr="009532BD">
        <w:t>. As a result, accumulations of both liquid and gaseous hydrocarbons are modelled to be present within sandstones of the Turonian–Santonian Tiger and/or uppermost Santonian–Maastrichtian Hammerhead supersequences (</w:t>
      </w:r>
      <w:proofErr w:type="spellStart"/>
      <w:r w:rsidRPr="009532BD">
        <w:t>Struckmeyer</w:t>
      </w:r>
      <w:proofErr w:type="spellEnd"/>
      <w:r w:rsidRPr="009532BD">
        <w:t>, 2009). Sediment loading by the Upper Cretaceous succession, particularly the Hammerhead Supersequence, was the critical event in the maturation of successively younger systems.</w:t>
      </w:r>
      <w:r>
        <w:t xml:space="preserve"> </w:t>
      </w:r>
    </w:p>
    <w:p w14:paraId="6E1FB754" w14:textId="77777777" w:rsidR="006D77F1" w:rsidRPr="009532BD" w:rsidRDefault="006D77F1" w:rsidP="006D77F1">
      <w:pPr>
        <w:pStyle w:val="BodyText"/>
      </w:pPr>
      <w:r w:rsidRPr="009532BD">
        <w:t>These results are supported by a recent reconnaissance-scale fluid inclusion and pressure-temperature study, which concluded that oil charge driven by loading of the Hammerhead Supersequence occurred in the basin depocentres in the Late Cretaceous, and was followed by oil, gas-condensate and gas charge to the depocentres and the basin margin in the Miocene (Kempton et al, 2017)</w:t>
      </w:r>
      <w:r>
        <w:t>.</w:t>
      </w:r>
    </w:p>
    <w:p w14:paraId="51C91384" w14:textId="77777777" w:rsidR="006D77F1" w:rsidRPr="009532BD" w:rsidRDefault="006D77F1" w:rsidP="006D77F1">
      <w:pPr>
        <w:pStyle w:val="BodyText"/>
      </w:pPr>
      <w:r w:rsidRPr="009532BD">
        <w:t xml:space="preserve">Generation and expulsion from potential Jurassic source rocks occurred during the Early Cretaceous in most of the Ceduna Sub-basin, however, on the inboard flanks of the sub-basin where the overburden is less than about 3000–4000 m, expulsion is likely to have occurred during the late Early to Late Cretaceous. Regional-scale petroleum systems modelling suggests that expulsion from the overlying Lower Cretaceous source rocks would have occurred from the </w:t>
      </w:r>
      <w:proofErr w:type="spellStart"/>
      <w:r w:rsidRPr="009532BD">
        <w:t>Albian</w:t>
      </w:r>
      <w:proofErr w:type="spellEnd"/>
      <w:r w:rsidRPr="009532BD">
        <w:t xml:space="preserve"> to Turonian. Some of the early</w:t>
      </w:r>
      <w:r>
        <w:t xml:space="preserve"> </w:t>
      </w:r>
      <w:r w:rsidRPr="009532BD">
        <w:t>generated and expelled hydrocarbons are likely to have been lost during major structuring related to breakup</w:t>
      </w:r>
      <w:r>
        <w:t>.</w:t>
      </w:r>
      <w:r w:rsidRPr="00E93FA0">
        <w:t xml:space="preserve"> </w:t>
      </w:r>
      <w:r>
        <w:t>An integrated 3D basin and petroleum systems modelling of the Great Australian Bight was also undertaken more recently (</w:t>
      </w:r>
      <w:proofErr w:type="spellStart"/>
      <w:r>
        <w:t>Frery</w:t>
      </w:r>
      <w:proofErr w:type="spellEnd"/>
      <w:r>
        <w:t xml:space="preserve"> et al, 2017).</w:t>
      </w:r>
    </w:p>
    <w:p w14:paraId="29FE8E7D" w14:textId="77777777" w:rsidR="006D77F1" w:rsidRPr="009532BD" w:rsidRDefault="006D77F1" w:rsidP="006D77F1">
      <w:pPr>
        <w:pStyle w:val="BodyText"/>
      </w:pPr>
      <w:r w:rsidRPr="009532BD">
        <w:t>In the Duntroon Sub-basin, expulsion from Upper Jurassic–Lower Cretaceous potential source rocks is likely to have occurred largely in the Late Cretaceous, following a major phase of structuring prior to breakup (Smith and Donaldson, 1995).</w:t>
      </w:r>
    </w:p>
    <w:p w14:paraId="25AD1B97" w14:textId="77777777" w:rsidR="006D77F1" w:rsidRPr="009532BD" w:rsidRDefault="006D77F1" w:rsidP="006D77F1">
      <w:pPr>
        <w:pStyle w:val="BodyText"/>
      </w:pPr>
      <w:r w:rsidRPr="009532BD">
        <w:t>Burial history modelling indicates that in the Eyre Sub-basin, the early rift section in the deepest half-</w:t>
      </w:r>
      <w:proofErr w:type="spellStart"/>
      <w:r w:rsidRPr="009532BD">
        <w:t>graben</w:t>
      </w:r>
      <w:proofErr w:type="spellEnd"/>
      <w:r w:rsidRPr="009532BD">
        <w:t xml:space="preserve"> entered the oil window in the latest Cretaceous. The presence of an active petroleum system is supported by the identification of a breached accumulation at Jerboa</w:t>
      </w:r>
      <w:r>
        <w:t> </w:t>
      </w:r>
      <w:r w:rsidRPr="009532BD">
        <w:t>1 in the Eyre Sub-basin, based on the presence of Grains with Oil Inclusions (GOI™) anomalies in the basal reservoir units (</w:t>
      </w:r>
      <w:proofErr w:type="spellStart"/>
      <w:r w:rsidRPr="009532BD">
        <w:t>Ruble</w:t>
      </w:r>
      <w:proofErr w:type="spellEnd"/>
      <w:r w:rsidRPr="009532BD">
        <w:t xml:space="preserve"> et al, 2001).</w:t>
      </w:r>
    </w:p>
    <w:p w14:paraId="7D0842F3" w14:textId="630866C2" w:rsidR="006D77F1" w:rsidRDefault="006D77F1" w:rsidP="006D77F1">
      <w:pPr>
        <w:pStyle w:val="BodyText"/>
      </w:pPr>
      <w:r w:rsidRPr="009532BD">
        <w:t xml:space="preserve">In the Bremer Sub-basin, appropriate maturities for hydrocarbon generation are likely in the main basin depocentres where sediments have been buried to depths of more than three kilometres. Burial history modelling has shown that for the oldest predicted source rocks (Jurassic lacustrine facies), the major phase of oil and gas expulsion occurred during rapid burial in the Tithonian–Valanginian. Generation and expulsion from overlying Lower Cretaceous fluvio-lacustrine shale and coal is modelled to have occurred from the </w:t>
      </w:r>
      <w:proofErr w:type="spellStart"/>
      <w:r w:rsidRPr="009532BD">
        <w:t>Berriasian</w:t>
      </w:r>
      <w:proofErr w:type="spellEnd"/>
      <w:r w:rsidRPr="009532BD">
        <w:t xml:space="preserve"> to Turonian (Ryan et al, 2005).</w:t>
      </w:r>
    </w:p>
    <w:p w14:paraId="40FD4EFA" w14:textId="77777777" w:rsidR="006D77F1" w:rsidRPr="00306A58" w:rsidRDefault="006D77F1" w:rsidP="006D77F1">
      <w:pPr>
        <w:pStyle w:val="Heading3"/>
      </w:pPr>
      <w:r>
        <w:lastRenderedPageBreak/>
        <w:t>Play types</w:t>
      </w:r>
    </w:p>
    <w:p w14:paraId="50CB9979" w14:textId="7A9C9C87" w:rsidR="006D77F1" w:rsidRPr="001649DE" w:rsidRDefault="006D77F1" w:rsidP="006D77F1">
      <w:pPr>
        <w:pStyle w:val="BodyText"/>
      </w:pPr>
      <w:r w:rsidRPr="001649DE">
        <w:t>The Bight Basin contains a broad range of structural and stratigraphic plays (</w:t>
      </w:r>
      <w:proofErr w:type="spellStart"/>
      <w:r w:rsidRPr="001649DE">
        <w:t>Totterdell</w:t>
      </w:r>
      <w:proofErr w:type="spellEnd"/>
      <w:r w:rsidRPr="001649DE">
        <w:t xml:space="preserve"> et al, 2000; </w:t>
      </w:r>
      <w:proofErr w:type="spellStart"/>
      <w:r w:rsidRPr="001649DE">
        <w:t>Tapley</w:t>
      </w:r>
      <w:proofErr w:type="spellEnd"/>
      <w:r w:rsidRPr="001649DE">
        <w:t xml:space="preserve"> et al, 2005). In the Ceduna Sub-basin, the main plays are associated with faults in the post-</w:t>
      </w:r>
      <w:proofErr w:type="spellStart"/>
      <w:r w:rsidRPr="001649DE">
        <w:t>Albian</w:t>
      </w:r>
      <w:proofErr w:type="spellEnd"/>
      <w:r w:rsidRPr="001649DE">
        <w:t xml:space="preserve"> </w:t>
      </w:r>
      <w:r w:rsidR="00EC418D">
        <w:t>White Pointer, Tiger and Hammerhead supersequences</w:t>
      </w:r>
      <w:r w:rsidR="00212EF3">
        <w:t xml:space="preserve"> (</w:t>
      </w:r>
      <w:r w:rsidR="00212EF3" w:rsidRPr="00051C21">
        <w:rPr>
          <w:b/>
        </w:rPr>
        <w:t>Figure 1</w:t>
      </w:r>
      <w:r w:rsidR="00E53B3D">
        <w:rPr>
          <w:b/>
        </w:rPr>
        <w:t>2</w:t>
      </w:r>
      <w:r w:rsidR="00212EF3">
        <w:t>)</w:t>
      </w:r>
      <w:r w:rsidRPr="001649DE">
        <w:t xml:space="preserve">. The structural architecture of much of the sub-basin is controlled by a series of generally northwest-oriented, </w:t>
      </w:r>
      <w:proofErr w:type="spellStart"/>
      <w:r w:rsidRPr="001649DE">
        <w:t>listric</w:t>
      </w:r>
      <w:proofErr w:type="spellEnd"/>
      <w:r w:rsidRPr="001649DE">
        <w:t xml:space="preserve"> normal faults that formed as a result of shale tectonics during deposition of a major delta system in the Cenomanian. </w:t>
      </w:r>
      <w:proofErr w:type="spellStart"/>
      <w:r w:rsidRPr="001649DE">
        <w:t>Albian</w:t>
      </w:r>
      <w:proofErr w:type="spellEnd"/>
      <w:r w:rsidRPr="001649DE">
        <w:t xml:space="preserve">–Cenomanian and Turonian–Santonian marine shales, and Cenomanian coaly source rocks are predicted to have charged a range of play types across the Ceduna Sub-basin. Potential plays include fault related hanging wall and footwall traps and associated rollovers and dip closures with Cenomanian to Santonian sandstone objectives. Inner basin plays are predominantly fault-dependent traps with Cenomanian to Santonian reservoirs, charged laterally and vertically by Turonian and older sources. Outer basin plays are mostly fault dependent closures with Turonian–Santonian or Campanian deltaic sandstone objectives, charged by either Cenomanian–Turonian and older marine shales, Cenomanian coal, or Santonian–Campanian </w:t>
      </w:r>
      <w:proofErr w:type="spellStart"/>
      <w:r w:rsidRPr="001649DE">
        <w:t>prodelta</w:t>
      </w:r>
      <w:proofErr w:type="spellEnd"/>
      <w:r w:rsidRPr="001649DE">
        <w:t xml:space="preserve"> shales. Stratigraphic plays, particularly within progradational Upper Cretaceous deltaic facies of the Hammerhead Supersequence, could also provide exploration targets. In addition, there may be some potential for Middle Jurassic–Early Cretaceous half-</w:t>
      </w:r>
      <w:proofErr w:type="spellStart"/>
      <w:r w:rsidRPr="001649DE">
        <w:t>graben</w:t>
      </w:r>
      <w:proofErr w:type="spellEnd"/>
      <w:r w:rsidRPr="001649DE">
        <w:t xml:space="preserve"> plays along the eastern margin of the Ceduna Sub basin.</w:t>
      </w:r>
    </w:p>
    <w:p w14:paraId="2DCB89D4" w14:textId="77777777" w:rsidR="006D77F1" w:rsidRPr="001649DE" w:rsidRDefault="006D77F1" w:rsidP="006D77F1">
      <w:pPr>
        <w:pStyle w:val="BodyText"/>
      </w:pPr>
      <w:r w:rsidRPr="001649DE">
        <w:t xml:space="preserve">In the Duntroon Sub-basin, key plays associated with the Hammerhead and Wobbegong supersequence reservoirs are sealed by thick transgressive marls at the base of the Dugong Supersequence. Intraformational plays within the dominantly fine-grained Lower Cretaceous section could also be present. </w:t>
      </w:r>
    </w:p>
    <w:p w14:paraId="74735FCE" w14:textId="77777777" w:rsidR="006D77F1" w:rsidRDefault="006D77F1" w:rsidP="006D77F1">
      <w:pPr>
        <w:pStyle w:val="BodyText"/>
      </w:pPr>
      <w:r w:rsidRPr="001649DE">
        <w:t>In the Bremer and Eyre sub-basins and along the northern and eastern flanks of the Ceduna Sub-basin, the key plays are structural closures related to half-</w:t>
      </w:r>
      <w:proofErr w:type="spellStart"/>
      <w:r w:rsidRPr="001649DE">
        <w:t>graben</w:t>
      </w:r>
      <w:proofErr w:type="spellEnd"/>
      <w:r w:rsidRPr="001649DE">
        <w:t xml:space="preserve"> bounding faults and associated stratigraphic plays. In contrast with plays across the most of the Ceduna depocentre, in these areas of the basin, prospectivity is focused on non-marine source rocks such as lacustrine shales and coaly sediments in the Jurassic–Lower Cretaceous rift and post-rift succession</w:t>
      </w:r>
      <w:r w:rsidRPr="009532BD">
        <w:t>.</w:t>
      </w:r>
    </w:p>
    <w:p w14:paraId="092F6138" w14:textId="77777777" w:rsidR="006D77F1" w:rsidRPr="00306A58" w:rsidRDefault="006D77F1" w:rsidP="006D77F1">
      <w:pPr>
        <w:pStyle w:val="Heading3"/>
      </w:pPr>
      <w:r>
        <w:t>Critical risks</w:t>
      </w:r>
    </w:p>
    <w:p w14:paraId="79B14CB9" w14:textId="66EFD165" w:rsidR="006D77F1" w:rsidRPr="001649DE" w:rsidRDefault="006D77F1" w:rsidP="006D77F1">
      <w:pPr>
        <w:pStyle w:val="BodyText"/>
      </w:pPr>
      <w:r w:rsidRPr="001649DE">
        <w:t xml:space="preserve">Prior to </w:t>
      </w:r>
      <w:r>
        <w:t>2008</w:t>
      </w:r>
      <w:r w:rsidRPr="001649DE">
        <w:t xml:space="preserve">, lack of an effective source rock and thus adequate hydrocarbon charge were perceived as the primary exploration risks in the sub-basin. While these risks have been significantly reduced following the identification of a high-quality Cenomanian to Turonian marine source rock, and fluid inclusion evidence of petroleum generation, expulsion and migration, the widespread presence of mature source rocks and significant volumes of hydrocarbons in the </w:t>
      </w:r>
      <w:r w:rsidR="005C7000">
        <w:t>b</w:t>
      </w:r>
      <w:r w:rsidR="007A7D3A">
        <w:t xml:space="preserve">asin </w:t>
      </w:r>
      <w:r w:rsidRPr="001649DE">
        <w:t>have not yet been demonstrated.</w:t>
      </w:r>
    </w:p>
    <w:p w14:paraId="21D95BEE" w14:textId="256DD85A" w:rsidR="006D77F1" w:rsidRPr="001649DE" w:rsidRDefault="006D77F1" w:rsidP="006D77F1">
      <w:pPr>
        <w:pStyle w:val="BodyText"/>
      </w:pPr>
      <w:r w:rsidRPr="001649DE">
        <w:t>Perceptions of the petroleum prospectivity of the</w:t>
      </w:r>
      <w:r w:rsidR="00347638">
        <w:t xml:space="preserve"> Bight Basin</w:t>
      </w:r>
      <w:r w:rsidRPr="001649DE">
        <w:t xml:space="preserve"> are largely derived from the interpretation of seismic data</w:t>
      </w:r>
      <w:r w:rsidR="00347638">
        <w:t>, particularly in the</w:t>
      </w:r>
      <w:r w:rsidR="00347638" w:rsidRPr="001649DE">
        <w:t xml:space="preserve"> Ceduna Sub-basin</w:t>
      </w:r>
      <w:r w:rsidR="00347638">
        <w:t xml:space="preserve"> where </w:t>
      </w:r>
      <w:r w:rsidR="005C7000">
        <w:t xml:space="preserve">recent </w:t>
      </w:r>
      <w:r w:rsidR="00347638">
        <w:t>exploration effort</w:t>
      </w:r>
      <w:r w:rsidR="005C7000">
        <w:t xml:space="preserve"> have been</w:t>
      </w:r>
      <w:r w:rsidR="00347638">
        <w:t xml:space="preserve"> focused</w:t>
      </w:r>
      <w:r w:rsidRPr="001649DE">
        <w:t>. Much of the northern and central parts of the</w:t>
      </w:r>
      <w:r w:rsidR="00347638">
        <w:t xml:space="preserve"> </w:t>
      </w:r>
      <w:r w:rsidR="00347638" w:rsidRPr="001649DE">
        <w:t>Ceduna</w:t>
      </w:r>
      <w:r w:rsidRPr="001649DE">
        <w:t xml:space="preserve"> </w:t>
      </w:r>
      <w:r w:rsidR="00347638">
        <w:t>S</w:t>
      </w:r>
      <w:r w:rsidRPr="001649DE">
        <w:t>ub-basin is covered by extensive high-quality 3D</w:t>
      </w:r>
      <w:r>
        <w:t xml:space="preserve"> </w:t>
      </w:r>
      <w:r w:rsidRPr="001649DE">
        <w:t>seismic data, which existing and past operators</w:t>
      </w:r>
      <w:r w:rsidR="008361F3">
        <w:t xml:space="preserve"> (most recently </w:t>
      </w:r>
      <w:proofErr w:type="spellStart"/>
      <w:r w:rsidR="008361F3">
        <w:t>Equinor</w:t>
      </w:r>
      <w:proofErr w:type="spellEnd"/>
      <w:r w:rsidR="00296A1D">
        <w:t xml:space="preserve">, </w:t>
      </w:r>
      <w:proofErr w:type="spellStart"/>
      <w:r w:rsidR="00296A1D" w:rsidRPr="0016137C">
        <w:t>Klauser-Baumgärtner</w:t>
      </w:r>
      <w:proofErr w:type="spellEnd"/>
      <w:r w:rsidR="00296A1D">
        <w:t xml:space="preserve"> et al, 2019; </w:t>
      </w:r>
      <w:proofErr w:type="spellStart"/>
      <w:r w:rsidR="00296A1D" w:rsidRPr="00FF0D5B">
        <w:t>Strømsøyen</w:t>
      </w:r>
      <w:proofErr w:type="spellEnd"/>
      <w:r w:rsidR="00296A1D">
        <w:t xml:space="preserve"> et al, 2019) </w:t>
      </w:r>
      <w:r w:rsidRPr="001649DE">
        <w:t>have used to develop robust structural and stratigraphic interpretation</w:t>
      </w:r>
      <w:r w:rsidR="008361F3">
        <w:t>s</w:t>
      </w:r>
      <w:r w:rsidRPr="001649DE">
        <w:t>. However, limited well control in the region means that there is a degree of uncertainty about the stratigraphic/lithological interpretation, particularly for the deeper, pre-Turonian section, and the cross fault seal capacity for structural plays in the sub-basin. A lack of certainty about facies evolution across the sub-basin, as well the impact of deep reservoir burial, make it difficult to assess the extent of effective reservoirs and source rock maturity in the area.</w:t>
      </w:r>
    </w:p>
    <w:p w14:paraId="2AA883B7" w14:textId="469F52C9" w:rsidR="00274BF9" w:rsidRDefault="006D77F1" w:rsidP="006D77F1">
      <w:pPr>
        <w:pStyle w:val="BodyText"/>
      </w:pPr>
      <w:r w:rsidRPr="001649DE">
        <w:t>The presence of volcanic and intrusive rocks within and overlying the Upper Cretaceous succession in some parts of the Ceduna Sub-basin presents a potential risk for petroleum systems.</w:t>
      </w:r>
    </w:p>
    <w:p w14:paraId="6937B718" w14:textId="77777777" w:rsidR="00274BF9" w:rsidRDefault="00274BF9">
      <w:pPr>
        <w:keepLines w:val="0"/>
        <w:suppressAutoHyphens w:val="0"/>
        <w:spacing w:after="0" w:line="240" w:lineRule="auto"/>
        <w:rPr>
          <w:sz w:val="20"/>
        </w:rPr>
      </w:pPr>
      <w:r>
        <w:br w:type="page"/>
      </w:r>
    </w:p>
    <w:p w14:paraId="3D271890" w14:textId="1F0D934A" w:rsidR="002C6657" w:rsidRDefault="000F196F" w:rsidP="002C6657">
      <w:pPr>
        <w:pStyle w:val="Heading2"/>
      </w:pPr>
      <w:r>
        <w:lastRenderedPageBreak/>
        <w:t xml:space="preserve">Geoscience Australia </w:t>
      </w:r>
      <w:r w:rsidR="002C6657">
        <w:t>products</w:t>
      </w:r>
      <w:r w:rsidR="00BF05A8">
        <w:t xml:space="preserve"> and data</w:t>
      </w:r>
    </w:p>
    <w:p w14:paraId="07EB27B6" w14:textId="77777777" w:rsidR="002C6657" w:rsidRDefault="002C6657" w:rsidP="00274BF9">
      <w:pPr>
        <w:pStyle w:val="Heading3-After"/>
      </w:pPr>
      <w:r w:rsidRPr="00ED4EBE">
        <w:t xml:space="preserve">Regional </w:t>
      </w:r>
      <w:r>
        <w:t>g</w:t>
      </w:r>
      <w:r w:rsidRPr="00ED4EBE">
        <w:t xml:space="preserve">eology and </w:t>
      </w:r>
      <w:r>
        <w:t>s</w:t>
      </w:r>
      <w:r w:rsidRPr="00ED4EBE">
        <w:t>eismic</w:t>
      </w:r>
    </w:p>
    <w:p w14:paraId="6B93DD95" w14:textId="42DBFBAF" w:rsidR="00FA7181" w:rsidRDefault="00FA7181" w:rsidP="002C6657">
      <w:pPr>
        <w:pStyle w:val="bodybullet"/>
      </w:pPr>
      <w:r>
        <w:t xml:space="preserve">Petroleum geology inventory of Australia's offshore frontier basins. </w:t>
      </w:r>
      <w:hyperlink r:id="rId9" w:history="1">
        <w:r w:rsidRPr="00FA7181">
          <w:rPr>
            <w:rStyle w:val="Hyperlink"/>
          </w:rPr>
          <w:t xml:space="preserve">Geoscience Australia Record 2014/009 by </w:t>
        </w:r>
        <w:proofErr w:type="spellStart"/>
        <w:r w:rsidRPr="00FA7181">
          <w:rPr>
            <w:rStyle w:val="Hyperlink"/>
          </w:rPr>
          <w:t>Totterdell</w:t>
        </w:r>
        <w:proofErr w:type="spellEnd"/>
        <w:r w:rsidRPr="00FA7181">
          <w:rPr>
            <w:rStyle w:val="Hyperlink"/>
          </w:rPr>
          <w:t xml:space="preserve"> et al, 2014</w:t>
        </w:r>
      </w:hyperlink>
      <w:r w:rsidRPr="00FA7181">
        <w:t xml:space="preserve"> </w:t>
      </w:r>
    </w:p>
    <w:p w14:paraId="0839F75B" w14:textId="040ECB76" w:rsidR="00FA7181" w:rsidRPr="00FA7181" w:rsidRDefault="00FA7181" w:rsidP="002C6657">
      <w:pPr>
        <w:pStyle w:val="bodybullet"/>
      </w:pPr>
      <w:r>
        <w:t xml:space="preserve">Bight Basin geological sampling and seepage survey, R/V Southern Surveyor Survey SS01/2007: post-survey report. </w:t>
      </w:r>
      <w:hyperlink r:id="rId10" w:history="1">
        <w:r>
          <w:rPr>
            <w:rStyle w:val="Hyperlink"/>
          </w:rPr>
          <w:t xml:space="preserve">Geoscience Australia Record 2009/24 by </w:t>
        </w:r>
        <w:proofErr w:type="spellStart"/>
        <w:r>
          <w:rPr>
            <w:rStyle w:val="Hyperlink"/>
          </w:rPr>
          <w:t>Totterdell</w:t>
        </w:r>
        <w:proofErr w:type="spellEnd"/>
        <w:r>
          <w:rPr>
            <w:rStyle w:val="Hyperlink"/>
          </w:rPr>
          <w:t xml:space="preserve"> and Mitchell, 2009</w:t>
        </w:r>
      </w:hyperlink>
      <w:r>
        <w:rPr>
          <w:rStyle w:val="Hyperlink"/>
          <w:color w:val="auto"/>
        </w:rPr>
        <w:t xml:space="preserve"> </w:t>
      </w:r>
    </w:p>
    <w:p w14:paraId="0E4D7940" w14:textId="5AD1DF19" w:rsidR="002C6657" w:rsidRDefault="002C6657" w:rsidP="002C6657">
      <w:pPr>
        <w:pStyle w:val="bodybullet"/>
      </w:pPr>
      <w:proofErr w:type="spellStart"/>
      <w:r>
        <w:t>Ceduna</w:t>
      </w:r>
      <w:proofErr w:type="spellEnd"/>
      <w:r>
        <w:t xml:space="preserve"> Sub-basin: environmental summary</w:t>
      </w:r>
      <w:r>
        <w:rPr>
          <w:rStyle w:val="Hyperlink"/>
        </w:rPr>
        <w:t xml:space="preserve">. </w:t>
      </w:r>
      <w:hyperlink r:id="rId11" w:history="1">
        <w:r>
          <w:rPr>
            <w:rStyle w:val="Hyperlink"/>
          </w:rPr>
          <w:t>Geoscience Australia Record 2009/09 by Hughes et al., 2009</w:t>
        </w:r>
      </w:hyperlink>
    </w:p>
    <w:p w14:paraId="4D31493E" w14:textId="0608ECEE" w:rsidR="002C6657" w:rsidRDefault="002C6657" w:rsidP="002C6657">
      <w:pPr>
        <w:pStyle w:val="bodybullet"/>
      </w:pPr>
      <w:r>
        <w:t xml:space="preserve">AUSCAN seafloor mapping and geological sampling survey on the Australian southern margin by Marion Dufresne in 2003: Final Project Report. </w:t>
      </w:r>
      <w:hyperlink r:id="rId12" w:history="1">
        <w:r>
          <w:rPr>
            <w:rStyle w:val="Hyperlink"/>
          </w:rPr>
          <w:t xml:space="preserve">Geoscience Australia Record 2004/04 by Hill and De </w:t>
        </w:r>
        <w:proofErr w:type="spellStart"/>
        <w:r>
          <w:rPr>
            <w:rStyle w:val="Hyperlink"/>
          </w:rPr>
          <w:t>Deckker</w:t>
        </w:r>
        <w:proofErr w:type="spellEnd"/>
        <w:r>
          <w:rPr>
            <w:rStyle w:val="Hyperlink"/>
          </w:rPr>
          <w:t>, 2004</w:t>
        </w:r>
      </w:hyperlink>
    </w:p>
    <w:p w14:paraId="76D3A3D1" w14:textId="1D0456F4" w:rsidR="002C6657" w:rsidRDefault="002C6657" w:rsidP="002C6657">
      <w:pPr>
        <w:pStyle w:val="bodybullet"/>
      </w:pPr>
      <w:r>
        <w:t xml:space="preserve">A revised structural framework for frontier basins on the southern and southwestern Australian continental margin. </w:t>
      </w:r>
      <w:hyperlink r:id="rId13" w:tooltip="Geoscience Australia Record 2003/03 by Bradshaw et al, 2003" w:history="1">
        <w:r>
          <w:rPr>
            <w:rStyle w:val="Hyperlink"/>
          </w:rPr>
          <w:t>Geoscience Australia Record 2003/03 by Bradshaw et al, 2003</w:t>
        </w:r>
      </w:hyperlink>
    </w:p>
    <w:p w14:paraId="1BB1D35F" w14:textId="77777777" w:rsidR="00FA7181" w:rsidRDefault="00FA7181" w:rsidP="00FA7181">
      <w:pPr>
        <w:pStyle w:val="bodybullet"/>
      </w:pPr>
      <w:r>
        <w:t xml:space="preserve">Seafloor mapping of the South-east Marine Region and adjacent waters. AUSTREA final report: Lord Howe Island, south-east Australian margin (includes Tasmania and South Tasman Rise) and central Great Australian Bight. </w:t>
      </w:r>
      <w:hyperlink r:id="rId14" w:history="1">
        <w:r w:rsidRPr="00A841D9">
          <w:rPr>
            <w:rStyle w:val="Hyperlink"/>
          </w:rPr>
          <w:t>Geoscience Australia Record 2001/08 by Hill et al, 2001</w:t>
        </w:r>
      </w:hyperlink>
      <w:r w:rsidRPr="00F85E84">
        <w:t xml:space="preserve"> </w:t>
      </w:r>
    </w:p>
    <w:p w14:paraId="331693FC" w14:textId="4C320FE2" w:rsidR="002C6657" w:rsidRDefault="002C6657" w:rsidP="002C6657">
      <w:pPr>
        <w:pStyle w:val="bodybullet"/>
      </w:pPr>
      <w:r>
        <w:t xml:space="preserve">Marine geological data collected during Southern Surveyor voyage 01/00: eastern Bass Strait and Great Australian Bight. </w:t>
      </w:r>
      <w:hyperlink r:id="rId15" w:history="1">
        <w:r>
          <w:rPr>
            <w:rStyle w:val="Hyperlink"/>
          </w:rPr>
          <w:t xml:space="preserve">Australian Geological Survey </w:t>
        </w:r>
        <w:proofErr w:type="spellStart"/>
        <w:r>
          <w:rPr>
            <w:rStyle w:val="Hyperlink"/>
          </w:rPr>
          <w:t>Organisation</w:t>
        </w:r>
        <w:proofErr w:type="spellEnd"/>
        <w:r>
          <w:rPr>
            <w:rStyle w:val="Hyperlink"/>
          </w:rPr>
          <w:t xml:space="preserve"> Record 2000/43 by Harris et al, 2000</w:t>
        </w:r>
      </w:hyperlink>
    </w:p>
    <w:p w14:paraId="0438036A" w14:textId="50F493F6" w:rsidR="002C6657" w:rsidRDefault="002C6657" w:rsidP="002C6657">
      <w:pPr>
        <w:pStyle w:val="bodybullet"/>
      </w:pPr>
      <w:r>
        <w:t xml:space="preserve">Scientific post-cruise report – R/V Rig Seismic cruise 102: geological sampling in the Great Australian Bight. </w:t>
      </w:r>
      <w:hyperlink r:id="rId16" w:history="1">
        <w:r>
          <w:rPr>
            <w:rStyle w:val="Hyperlink"/>
          </w:rPr>
          <w:t xml:space="preserve">Australian Geological Survey </w:t>
        </w:r>
        <w:proofErr w:type="spellStart"/>
        <w:r>
          <w:rPr>
            <w:rStyle w:val="Hyperlink"/>
          </w:rPr>
          <w:t>Organisation</w:t>
        </w:r>
        <w:proofErr w:type="spellEnd"/>
        <w:r>
          <w:rPr>
            <w:rStyle w:val="Hyperlink"/>
          </w:rPr>
          <w:t xml:space="preserve"> Record 1993/18 by </w:t>
        </w:r>
        <w:proofErr w:type="spellStart"/>
        <w:r>
          <w:rPr>
            <w:rStyle w:val="Hyperlink"/>
          </w:rPr>
          <w:t>Feary</w:t>
        </w:r>
        <w:proofErr w:type="spellEnd"/>
        <w:r>
          <w:rPr>
            <w:rStyle w:val="Hyperlink"/>
          </w:rPr>
          <w:t xml:space="preserve"> and Shipboard Party, 1993</w:t>
        </w:r>
      </w:hyperlink>
    </w:p>
    <w:p w14:paraId="73E7BD51" w14:textId="77777777" w:rsidR="002C6657" w:rsidRDefault="002C6657" w:rsidP="00274BF9">
      <w:pPr>
        <w:pStyle w:val="Heading3-After"/>
      </w:pPr>
      <w:r w:rsidRPr="00ED4EBE">
        <w:t>Stratigraphy</w:t>
      </w:r>
    </w:p>
    <w:p w14:paraId="1C56B507" w14:textId="64C478AF" w:rsidR="002C6657" w:rsidRDefault="00FD633E" w:rsidP="002C6657">
      <w:pPr>
        <w:pStyle w:val="bodybullet"/>
      </w:pPr>
      <w:hyperlink r:id="rId17" w:history="1">
        <w:r w:rsidR="002C6657" w:rsidRPr="007912A5">
          <w:rPr>
            <w:rStyle w:val="Hyperlink"/>
          </w:rPr>
          <w:t xml:space="preserve">Geoscience Australia’s Basin </w:t>
        </w:r>
        <w:proofErr w:type="spellStart"/>
        <w:r w:rsidR="002C6657" w:rsidRPr="007912A5">
          <w:rPr>
            <w:rStyle w:val="Hyperlink"/>
          </w:rPr>
          <w:t>Biozonation</w:t>
        </w:r>
        <w:proofErr w:type="spellEnd"/>
        <w:r w:rsidR="002C6657" w:rsidRPr="007912A5">
          <w:rPr>
            <w:rStyle w:val="Hyperlink"/>
          </w:rPr>
          <w:t xml:space="preserve"> and Stratigraphy Chart Series</w:t>
        </w:r>
      </w:hyperlink>
      <w:r w:rsidR="002C6657">
        <w:t xml:space="preserve">: Bight Basin </w:t>
      </w:r>
      <w:proofErr w:type="spellStart"/>
      <w:r w:rsidR="002C6657">
        <w:t>Biozonation</w:t>
      </w:r>
      <w:proofErr w:type="spellEnd"/>
      <w:r w:rsidR="002C6657">
        <w:t xml:space="preserve"> and Biostratigraphy Chart 35, 2013. </w:t>
      </w:r>
      <w:hyperlink r:id="rId18" w:history="1">
        <w:r w:rsidR="002C6657">
          <w:rPr>
            <w:rStyle w:val="Hyperlink"/>
          </w:rPr>
          <w:t xml:space="preserve">Chart by </w:t>
        </w:r>
        <w:proofErr w:type="spellStart"/>
        <w:r w:rsidR="002C6657">
          <w:rPr>
            <w:rStyle w:val="Hyperlink"/>
          </w:rPr>
          <w:t>Totterdell</w:t>
        </w:r>
        <w:proofErr w:type="spellEnd"/>
        <w:r w:rsidR="002C6657">
          <w:rPr>
            <w:rStyle w:val="Hyperlink"/>
          </w:rPr>
          <w:t xml:space="preserve"> et al, 2013</w:t>
        </w:r>
      </w:hyperlink>
    </w:p>
    <w:p w14:paraId="5193834D" w14:textId="67C16666" w:rsidR="00FA7181" w:rsidRPr="00F31180" w:rsidRDefault="002C6657" w:rsidP="00F31180">
      <w:pPr>
        <w:pStyle w:val="bodybullet"/>
        <w:rPr>
          <w:rFonts w:eastAsia="SimSun"/>
          <w:lang w:eastAsia="zh-CN"/>
        </w:rPr>
      </w:pPr>
      <w:r>
        <w:rPr>
          <w:rFonts w:eastAsia="SimSun"/>
          <w:lang w:eastAsia="zh-CN"/>
        </w:rPr>
        <w:t xml:space="preserve">Distribution, timing and origin of magmatism in the Bight and </w:t>
      </w:r>
      <w:proofErr w:type="spellStart"/>
      <w:r>
        <w:rPr>
          <w:rFonts w:eastAsia="SimSun"/>
          <w:lang w:eastAsia="zh-CN"/>
        </w:rPr>
        <w:t>Eucla</w:t>
      </w:r>
      <w:proofErr w:type="spellEnd"/>
      <w:r>
        <w:rPr>
          <w:rFonts w:eastAsia="SimSun"/>
          <w:lang w:eastAsia="zh-CN"/>
        </w:rPr>
        <w:t xml:space="preserve"> basins. </w:t>
      </w:r>
      <w:hyperlink r:id="rId19" w:history="1">
        <w:r>
          <w:rPr>
            <w:rStyle w:val="Hyperlink"/>
            <w:rFonts w:eastAsia="SimSun"/>
            <w:lang w:eastAsia="zh-CN"/>
          </w:rPr>
          <w:t xml:space="preserve">Geoscience Australia Record 2008/24 by Schofield and </w:t>
        </w:r>
        <w:proofErr w:type="spellStart"/>
        <w:r>
          <w:rPr>
            <w:rStyle w:val="Hyperlink"/>
            <w:rFonts w:eastAsia="SimSun"/>
            <w:lang w:eastAsia="zh-CN"/>
          </w:rPr>
          <w:t>Totterdell</w:t>
        </w:r>
        <w:proofErr w:type="spellEnd"/>
        <w:r>
          <w:rPr>
            <w:rStyle w:val="Hyperlink"/>
            <w:rFonts w:eastAsia="SimSun"/>
            <w:lang w:eastAsia="zh-CN"/>
          </w:rPr>
          <w:t>, 2008</w:t>
        </w:r>
      </w:hyperlink>
    </w:p>
    <w:p w14:paraId="4B88C8BA" w14:textId="54EC7E83" w:rsidR="002C6657" w:rsidRPr="00F31180" w:rsidRDefault="002C6657" w:rsidP="002C6657">
      <w:pPr>
        <w:pStyle w:val="bodybullet"/>
        <w:rPr>
          <w:lang w:val="en-US"/>
        </w:rPr>
      </w:pPr>
      <w:r w:rsidRPr="003C77BB">
        <w:rPr>
          <w:lang w:val="en-US"/>
        </w:rPr>
        <w:t>Maastrichtian and younger sediments from the Great Australian Bight.</w:t>
      </w:r>
      <w:r w:rsidRPr="00F31180">
        <w:rPr>
          <w:lang w:val="en-US"/>
        </w:rPr>
        <w:t xml:space="preserve"> </w:t>
      </w:r>
      <w:hyperlink r:id="rId20" w:history="1">
        <w:r w:rsidRPr="00F31180">
          <w:rPr>
            <w:rStyle w:val="Hyperlink"/>
            <w:lang w:val="en-US"/>
          </w:rPr>
          <w:t>Bureau of Mineral Resources Geology and Geophysics Report 288 by Davies et al, 1989</w:t>
        </w:r>
      </w:hyperlink>
      <w:r w:rsidRPr="00F31180">
        <w:rPr>
          <w:lang w:val="en-US"/>
        </w:rPr>
        <w:t xml:space="preserve"> </w:t>
      </w:r>
    </w:p>
    <w:p w14:paraId="598952DF" w14:textId="2A33CC4C" w:rsidR="002C6657" w:rsidRPr="00CE235F" w:rsidRDefault="002C6657" w:rsidP="002C6657">
      <w:pPr>
        <w:pStyle w:val="bodybullet"/>
        <w:rPr>
          <w:rStyle w:val="Hyperlink"/>
          <w:color w:val="auto"/>
          <w:lang w:val="en-US"/>
        </w:rPr>
      </w:pPr>
      <w:r w:rsidRPr="00CE235F">
        <w:rPr>
          <w:lang w:val="en-US"/>
        </w:rPr>
        <w:t xml:space="preserve">Sequence stratigraphic correlation of onshore and offshore Bight Basin successions. </w:t>
      </w:r>
      <w:hyperlink r:id="rId21" w:history="1">
        <w:r w:rsidRPr="00CE235F">
          <w:rPr>
            <w:rStyle w:val="Hyperlink"/>
            <w:lang w:val="en-US"/>
          </w:rPr>
          <w:t xml:space="preserve">Geoscience Australia Record, 2003/02 by </w:t>
        </w:r>
        <w:proofErr w:type="spellStart"/>
        <w:r w:rsidRPr="00CE235F">
          <w:rPr>
            <w:rStyle w:val="Hyperlink"/>
            <w:lang w:val="en-US"/>
          </w:rPr>
          <w:t>Totterdell</w:t>
        </w:r>
        <w:proofErr w:type="spellEnd"/>
        <w:r w:rsidRPr="00CE235F">
          <w:rPr>
            <w:rStyle w:val="Hyperlink"/>
            <w:lang w:val="en-US"/>
          </w:rPr>
          <w:t xml:space="preserve"> and </w:t>
        </w:r>
        <w:proofErr w:type="spellStart"/>
        <w:r w:rsidRPr="00CE235F">
          <w:rPr>
            <w:rStyle w:val="Hyperlink"/>
            <w:lang w:val="en-US"/>
          </w:rPr>
          <w:t>Krassay</w:t>
        </w:r>
        <w:proofErr w:type="spellEnd"/>
        <w:r w:rsidRPr="00CE235F">
          <w:rPr>
            <w:rStyle w:val="Hyperlink"/>
            <w:lang w:val="en-US"/>
          </w:rPr>
          <w:t>, 2003</w:t>
        </w:r>
      </w:hyperlink>
      <w:r w:rsidRPr="00CE235F">
        <w:rPr>
          <w:rStyle w:val="Hyperlink"/>
        </w:rPr>
        <w:t xml:space="preserve"> </w:t>
      </w:r>
    </w:p>
    <w:p w14:paraId="043D23E9" w14:textId="77777777" w:rsidR="002C6657" w:rsidRDefault="002C6657" w:rsidP="00274BF9">
      <w:pPr>
        <w:pStyle w:val="Heading3-After"/>
      </w:pPr>
      <w:r w:rsidRPr="00ED4EBE">
        <w:t xml:space="preserve">Petroleum </w:t>
      </w:r>
      <w:r>
        <w:t>s</w:t>
      </w:r>
      <w:r w:rsidRPr="00314445">
        <w:t>ystems</w:t>
      </w:r>
      <w:r w:rsidRPr="00ED4EBE">
        <w:t xml:space="preserve"> and </w:t>
      </w:r>
      <w:r>
        <w:t>a</w:t>
      </w:r>
      <w:r w:rsidRPr="00ED4EBE">
        <w:t>ccumulations</w:t>
      </w:r>
    </w:p>
    <w:p w14:paraId="38974E87" w14:textId="304A1683" w:rsidR="002C6657" w:rsidRPr="001649DE" w:rsidRDefault="002C6657" w:rsidP="006326B5">
      <w:pPr>
        <w:pStyle w:val="BodyText"/>
        <w:numPr>
          <w:ilvl w:val="0"/>
          <w:numId w:val="18"/>
        </w:numPr>
      </w:pPr>
      <w:r w:rsidRPr="001649DE">
        <w:t xml:space="preserve">Ceduna Sub-basin, Bight Basin: results of 3D petroleum systems modelling. </w:t>
      </w:r>
      <w:hyperlink r:id="rId22" w:tooltip="Geoscience Australia website" w:history="1">
        <w:r w:rsidRPr="003C77BB">
          <w:rPr>
            <w:rStyle w:val="Hyperlink"/>
          </w:rPr>
          <w:t xml:space="preserve">Dataset by </w:t>
        </w:r>
        <w:proofErr w:type="spellStart"/>
        <w:r w:rsidRPr="003C77BB">
          <w:rPr>
            <w:rStyle w:val="Hyperlink"/>
          </w:rPr>
          <w:t>Struckmeyer</w:t>
        </w:r>
        <w:proofErr w:type="spellEnd"/>
        <w:r w:rsidRPr="003C77BB">
          <w:rPr>
            <w:rStyle w:val="Hyperlink"/>
          </w:rPr>
          <w:t>, 2009</w:t>
        </w:r>
      </w:hyperlink>
    </w:p>
    <w:p w14:paraId="1FAC6351" w14:textId="3869D682" w:rsidR="002C6657" w:rsidRDefault="002C6657" w:rsidP="006326B5">
      <w:pPr>
        <w:pStyle w:val="BodyText"/>
        <w:numPr>
          <w:ilvl w:val="0"/>
          <w:numId w:val="18"/>
        </w:numPr>
      </w:pPr>
      <w:proofErr w:type="spellStart"/>
      <w:r w:rsidRPr="001649DE">
        <w:t>MkII</w:t>
      </w:r>
      <w:proofErr w:type="spellEnd"/>
      <w:r w:rsidRPr="001649DE">
        <w:t xml:space="preserve"> airborne laser </w:t>
      </w:r>
      <w:proofErr w:type="spellStart"/>
      <w:r w:rsidRPr="001649DE">
        <w:t>fluorosensor</w:t>
      </w:r>
      <w:proofErr w:type="spellEnd"/>
      <w:r w:rsidRPr="001649DE">
        <w:t xml:space="preserve"> survey reprocessing and interpretation report: Great Australian Bight, southern Australia. </w:t>
      </w:r>
      <w:hyperlink r:id="rId23" w:history="1">
        <w:r w:rsidRPr="003C77BB">
          <w:rPr>
            <w:rStyle w:val="Hyperlink"/>
          </w:rPr>
          <w:t>Australian Geological Survey Organisation Record 2001/18 by Cowley, 2001</w:t>
        </w:r>
      </w:hyperlink>
      <w:r>
        <w:t xml:space="preserve"> </w:t>
      </w:r>
    </w:p>
    <w:p w14:paraId="12F2E34B" w14:textId="77777777" w:rsidR="00BF05A8" w:rsidRDefault="00BF05A8" w:rsidP="00274BF9">
      <w:pPr>
        <w:pStyle w:val="Heading3-After"/>
      </w:pPr>
      <w:r>
        <w:t xml:space="preserve">Data discovery tools </w:t>
      </w:r>
    </w:p>
    <w:p w14:paraId="5A21ADC9" w14:textId="1451408B" w:rsidR="00274BF9" w:rsidRDefault="00274BF9" w:rsidP="00274BF9">
      <w:pPr>
        <w:pStyle w:val="bodybullet"/>
      </w:pPr>
      <w:r w:rsidRPr="003C1A56">
        <w:t xml:space="preserve">The </w:t>
      </w:r>
      <w:hyperlink r:id="rId24" w:tooltip="Search the National Offshore Petroleum Information Management System" w:history="1">
        <w:r w:rsidRPr="003C1A56">
          <w:rPr>
            <w:rStyle w:val="Hyperlink"/>
            <w:szCs w:val="20"/>
            <w:lang w:val="en-AU"/>
          </w:rPr>
          <w:t>National Offshore Petroleum Information Management System</w:t>
        </w:r>
        <w:r w:rsidRPr="003C1A56">
          <w:rPr>
            <w:rStyle w:val="Hyperlink"/>
            <w:color w:val="auto"/>
          </w:rPr>
          <w:t xml:space="preserve"> </w:t>
        </w:r>
        <w:r w:rsidRPr="003C1A56">
          <w:rPr>
            <w:rStyle w:val="Hyperlink"/>
            <w:szCs w:val="20"/>
            <w:lang w:val="en-AU"/>
          </w:rPr>
          <w:t>(NOPIMS)</w:t>
        </w:r>
      </w:hyperlink>
      <w:r w:rsidRPr="003C1A56">
        <w:t xml:space="preserve"> provide</w:t>
      </w:r>
      <w:r>
        <w:t>s</w:t>
      </w:r>
      <w:r w:rsidRPr="003C1A56">
        <w:t xml:space="preserve"> access to wells and survey data acquired primarily in Commonwealth waters and submitted under legislation, currently the Offshore Petroleum and Greenhouse Gas Storage Act 2006. This data can be downloaded or packaged on request. NOPIMS has </w:t>
      </w:r>
      <w:r w:rsidRPr="00350D19">
        <w:t>been</w:t>
      </w:r>
      <w:r w:rsidRPr="003C1A56">
        <w:t xml:space="preserve"> upgraded to provide access to over 50 years of data submission of well and survey information. It represents more than 1 million records </w:t>
      </w:r>
      <w:r w:rsidRPr="003C1A56">
        <w:rPr>
          <w:rFonts w:cs="Arial"/>
          <w:szCs w:val="20"/>
          <w:lang w:eastAsia="en-AU"/>
        </w:rPr>
        <w:t xml:space="preserve">and includes an </w:t>
      </w:r>
      <w:hyperlink r:id="rId25" w:history="1">
        <w:r w:rsidRPr="003C1A56">
          <w:rPr>
            <w:rStyle w:val="Hyperlink"/>
            <w:szCs w:val="20"/>
            <w:lang w:val="en-AU"/>
          </w:rPr>
          <w:t>interactive mapping tool</w:t>
        </w:r>
      </w:hyperlink>
      <w:r>
        <w:rPr>
          <w:rStyle w:val="Hyperlink"/>
          <w:szCs w:val="20"/>
          <w:lang w:val="en-AU"/>
        </w:rPr>
        <w:t xml:space="preserve"> </w:t>
      </w:r>
      <w:r>
        <w:t>for data discovery.</w:t>
      </w:r>
    </w:p>
    <w:p w14:paraId="5914D4C8" w14:textId="77777777" w:rsidR="00274BF9" w:rsidRDefault="00FD633E" w:rsidP="00274BF9">
      <w:pPr>
        <w:pStyle w:val="bodybullet"/>
      </w:pPr>
      <w:hyperlink r:id="rId26" w:history="1">
        <w:r w:rsidR="00274BF9" w:rsidRPr="003C1A56">
          <w:rPr>
            <w:rStyle w:val="Hyperlink"/>
            <w:szCs w:val="20"/>
            <w:lang w:val="en-AU"/>
          </w:rPr>
          <w:t>Geoscience Australia's Data Discovery Portal</w:t>
        </w:r>
      </w:hyperlink>
      <w:r w:rsidR="00274BF9" w:rsidRPr="003C1A56">
        <w:t xml:space="preserve"> provides full access to Geoscience Australia data and other publically available data sources as well as a suite of analytical and multi-criteria assessment </w:t>
      </w:r>
      <w:r w:rsidR="00274BF9" w:rsidRPr="003C1A56">
        <w:lastRenderedPageBreak/>
        <w:t xml:space="preserve">tools. This includes an </w:t>
      </w:r>
      <w:hyperlink r:id="rId27" w:history="1">
        <w:r w:rsidR="00274BF9" w:rsidRPr="003C1A56">
          <w:rPr>
            <w:rStyle w:val="Hyperlink"/>
            <w:szCs w:val="20"/>
            <w:lang w:val="en-AU"/>
          </w:rPr>
          <w:t>Energy persona</w:t>
        </w:r>
      </w:hyperlink>
      <w:r w:rsidR="00274BF9" w:rsidRPr="003C1A56">
        <w:t xml:space="preserve"> that allows access to a wide range of geological and geospatial data. Themes include source rock geochemistry, petroleum wells, stratigraphic information, province and basin geology, geophysical survey data coverage and other fundamental geospatial and administrative datasets.</w:t>
      </w:r>
    </w:p>
    <w:p w14:paraId="3059AB36" w14:textId="5CA759F0" w:rsidR="00420ED1" w:rsidRDefault="00274BF9" w:rsidP="00FD633E">
      <w:pPr>
        <w:pStyle w:val="bodybullet"/>
      </w:pPr>
      <w:r>
        <w:t xml:space="preserve">The </w:t>
      </w:r>
      <w:hyperlink r:id="rId28" w:history="1">
        <w:r w:rsidRPr="000E6F67">
          <w:rPr>
            <w:rStyle w:val="Hyperlink"/>
          </w:rPr>
          <w:t>National Petroleum Wells Database</w:t>
        </w:r>
      </w:hyperlink>
      <w:r>
        <w:t xml:space="preserve"> </w:t>
      </w:r>
      <w:r w:rsidRPr="000E6F67">
        <w:t xml:space="preserve">application provides access to </w:t>
      </w:r>
      <w:r>
        <w:t xml:space="preserve">Geoscience Australia’s </w:t>
      </w:r>
      <w:r w:rsidRPr="000E6F67">
        <w:t>Oracle petroleum wells databases. Data themes include header data, biostratigraphy, organic geochemistry, reservoir and facies, stratigraphy, velocity and directional surveys. Data is included for offshore and onshore regions</w:t>
      </w:r>
      <w:r>
        <w:t>, however s</w:t>
      </w:r>
      <w:r w:rsidRPr="000E6F67">
        <w:t xml:space="preserve">cientific data entry is generally </w:t>
      </w:r>
      <w:r>
        <w:t>limited to</w:t>
      </w:r>
      <w:r w:rsidRPr="000E6F67">
        <w:t xml:space="preserve"> offshore wells</w:t>
      </w:r>
      <w:r>
        <w:t xml:space="preserve"> and is dependent on Geoscience Australia’s project activities.</w:t>
      </w:r>
      <w:r w:rsidR="00420ED1" w:rsidRPr="00002FA2">
        <w:br w:type="page"/>
      </w:r>
    </w:p>
    <w:p w14:paraId="5B294935" w14:textId="6022C9FB" w:rsidR="005A16F9" w:rsidRDefault="005A16F9" w:rsidP="005A16F9">
      <w:pPr>
        <w:pStyle w:val="Heading2"/>
      </w:pPr>
      <w:r>
        <w:lastRenderedPageBreak/>
        <w:t>Marine and environmental information</w:t>
      </w:r>
    </w:p>
    <w:p w14:paraId="59EA4DD8" w14:textId="5890A74B" w:rsidR="005A16F9" w:rsidRDefault="005A16F9" w:rsidP="005A16F9">
      <w:pPr>
        <w:pStyle w:val="BodyText"/>
      </w:pPr>
      <w:r w:rsidRPr="00F907FA">
        <w:t xml:space="preserve">The following section contains information about the existing marine parks, their special habitat zones and physiographic features within the </w:t>
      </w:r>
      <w:r>
        <w:t xml:space="preserve">Bight Basin </w:t>
      </w:r>
      <w:r w:rsidRPr="00F907FA">
        <w:t>(</w:t>
      </w:r>
      <w:r w:rsidRPr="005F14DB">
        <w:rPr>
          <w:b/>
          <w:color w:val="auto"/>
        </w:rPr>
        <w:t>Figure</w:t>
      </w:r>
      <w:r w:rsidR="005F14DB" w:rsidRPr="005F14DB">
        <w:rPr>
          <w:b/>
          <w:color w:val="auto"/>
        </w:rPr>
        <w:t> </w:t>
      </w:r>
      <w:r w:rsidR="00FE28EC" w:rsidRPr="00FE28EC">
        <w:rPr>
          <w:b/>
          <w:color w:val="auto"/>
        </w:rPr>
        <w:t>1</w:t>
      </w:r>
      <w:r w:rsidR="00E53B3D">
        <w:rPr>
          <w:b/>
          <w:color w:val="auto"/>
        </w:rPr>
        <w:t>3</w:t>
      </w:r>
      <w:r w:rsidRPr="00F907FA">
        <w:t>). The information is provided in support of business decisions with respect to planned explorat</w:t>
      </w:r>
      <w:r>
        <w:t>ion and development activities.</w:t>
      </w:r>
    </w:p>
    <w:p w14:paraId="0CB93E46" w14:textId="77777777" w:rsidR="005A16F9" w:rsidRDefault="005A16F9" w:rsidP="005A16F9">
      <w:pPr>
        <w:pStyle w:val="Heading3"/>
        <w:rPr>
          <w:color w:val="auto"/>
        </w:rPr>
      </w:pPr>
      <w:r w:rsidRPr="006D1FAE">
        <w:rPr>
          <w:color w:val="auto"/>
        </w:rPr>
        <w:t>Australian marine parks</w:t>
      </w:r>
    </w:p>
    <w:p w14:paraId="3996BF00" w14:textId="77777777" w:rsidR="005A16F9" w:rsidRDefault="005A16F9" w:rsidP="005A16F9">
      <w:pPr>
        <w:pStyle w:val="BodyText"/>
      </w:pPr>
      <w:r w:rsidRPr="00007E49">
        <w:t xml:space="preserve">Australian Marine Parks (Commonwealth </w:t>
      </w:r>
      <w:r>
        <w:t xml:space="preserve">marine </w:t>
      </w:r>
      <w:r w:rsidRPr="00007E49">
        <w:t xml:space="preserve">reserves proclaimed under the EPBC Act in 2007 and 2013) are located in Commonwealth waters that start at the outer edge of state and territory waters, generally </w:t>
      </w:r>
      <w:r>
        <w:t>3 </w:t>
      </w:r>
      <w:r w:rsidRPr="00007E49">
        <w:t>nautical miles</w:t>
      </w:r>
      <w:r>
        <w:t xml:space="preserve"> (nm) (5.6 km)</w:t>
      </w:r>
      <w:r w:rsidRPr="00007E49">
        <w:t xml:space="preserve"> from the shore, and extend to the outer boundary of Australia’s Exclusive Economic Zone,</w:t>
      </w:r>
      <w:r w:rsidRPr="009F3536">
        <w:t xml:space="preserve"> </w:t>
      </w:r>
      <w:r w:rsidRPr="00007E49">
        <w:t>200</w:t>
      </w:r>
      <w:r>
        <w:t> nm (370.4 km)</w:t>
      </w:r>
      <w:r w:rsidRPr="00007E49">
        <w:t xml:space="preserve"> from the shore. Marine parks have also been established by the state and territory governments in their respective waters. The marine parks operate under management plans that provide a balance between protection of the marine environment, and sustainable use of the area. </w:t>
      </w:r>
      <w:r w:rsidRPr="002226C9">
        <w:t xml:space="preserve">Links to these management plans are provided for each </w:t>
      </w:r>
      <w:proofErr w:type="gramStart"/>
      <w:r w:rsidRPr="002226C9">
        <w:t>marine park</w:t>
      </w:r>
      <w:proofErr w:type="gramEnd"/>
      <w:r w:rsidRPr="002226C9">
        <w:t xml:space="preserve"> or marine park network in the Bight Basin region.</w:t>
      </w:r>
    </w:p>
    <w:p w14:paraId="672A25FC" w14:textId="7F69B01C" w:rsidR="005A16F9" w:rsidRPr="00236BD1" w:rsidRDefault="005A16F9" w:rsidP="005A16F9">
      <w:pPr>
        <w:pStyle w:val="Heading4"/>
        <w:rPr>
          <w:rFonts w:ascii="Arial" w:hAnsi="Arial" w:cs="Arial"/>
          <w:b w:val="0"/>
          <w:sz w:val="22"/>
        </w:rPr>
      </w:pPr>
      <w:r w:rsidRPr="00236BD1">
        <w:rPr>
          <w:rFonts w:ascii="Arial" w:hAnsi="Arial" w:cs="Arial"/>
          <w:b w:val="0"/>
          <w:sz w:val="22"/>
        </w:rPr>
        <w:t>South-west Marine Parks Network</w:t>
      </w:r>
    </w:p>
    <w:p w14:paraId="57001D38" w14:textId="451CB58C" w:rsidR="005A16F9" w:rsidRDefault="005A16F9" w:rsidP="005A16F9">
      <w:pPr>
        <w:pStyle w:val="BodyText"/>
        <w:rPr>
          <w:rFonts w:ascii="Georgia" w:hAnsi="Georgia"/>
          <w:sz w:val="24"/>
          <w:szCs w:val="24"/>
          <w:lang w:eastAsia="en-AU"/>
        </w:rPr>
      </w:pPr>
      <w:r w:rsidRPr="00885E84">
        <w:t xml:space="preserve">The </w:t>
      </w:r>
      <w:hyperlink r:id="rId29" w:history="1">
        <w:r w:rsidRPr="00236BD1">
          <w:rPr>
            <w:rStyle w:val="Hyperlink"/>
          </w:rPr>
          <w:t>South-west Marine Parks Network</w:t>
        </w:r>
      </w:hyperlink>
      <w:r w:rsidRPr="00885E84">
        <w:t xml:space="preserve"> </w:t>
      </w:r>
      <w:r>
        <w:t>comprises five</w:t>
      </w:r>
      <w:r w:rsidRPr="005C146E">
        <w:t xml:space="preserve"> marine parks </w:t>
      </w:r>
      <w:r>
        <w:t xml:space="preserve">offshore South Australia and nine parks off the coast of southwest Western Australia. The marine environment of the region is characterised by a low gradient continental shelf, steep slope that is incised by numerous submarine canyons (including Perth Canyon), </w:t>
      </w:r>
      <w:proofErr w:type="spellStart"/>
      <w:r>
        <w:t>deepwater</w:t>
      </w:r>
      <w:proofErr w:type="spellEnd"/>
      <w:r>
        <w:t xml:space="preserve"> plateaus and abyssal plains. </w:t>
      </w:r>
      <w:r w:rsidRPr="002226C9">
        <w:rPr>
          <w:rFonts w:cs="Arial"/>
          <w:szCs w:val="20"/>
        </w:rPr>
        <w:t>H</w:t>
      </w:r>
      <w:r w:rsidRPr="002226C9">
        <w:rPr>
          <w:rFonts w:cs="Arial"/>
          <w:szCs w:val="20"/>
          <w:lang w:eastAsia="en-AU"/>
        </w:rPr>
        <w:t xml:space="preserve">otspots for biodiversity include mixed temperate and tropical marine species that inhabit the waters </w:t>
      </w:r>
      <w:r>
        <w:rPr>
          <w:rFonts w:cs="Arial"/>
          <w:szCs w:val="20"/>
          <w:lang w:eastAsia="en-AU"/>
        </w:rPr>
        <w:t xml:space="preserve">surrounding </w:t>
      </w:r>
      <w:r w:rsidRPr="002226C9">
        <w:rPr>
          <w:rFonts w:cs="Arial"/>
          <w:szCs w:val="20"/>
          <w:lang w:eastAsia="en-AU"/>
        </w:rPr>
        <w:t xml:space="preserve">of Houtman Abrolhos Islands, Recherche Archipelago and the world’s richest known </w:t>
      </w:r>
      <w:r>
        <w:rPr>
          <w:rFonts w:cs="Arial"/>
          <w:szCs w:val="20"/>
          <w:lang w:eastAsia="en-AU"/>
        </w:rPr>
        <w:t>te</w:t>
      </w:r>
      <w:r w:rsidRPr="002226C9">
        <w:rPr>
          <w:rFonts w:cs="Arial"/>
          <w:szCs w:val="20"/>
          <w:lang w:eastAsia="en-AU"/>
        </w:rPr>
        <w:t>mperate soft sediment communities in the Great Australian Bight. Endangered southern right whales migrate through the region to coastal waters off South Australia and Western Australia</w:t>
      </w:r>
      <w:r w:rsidRPr="00573F60">
        <w:rPr>
          <w:rFonts w:ascii="Georgia" w:hAnsi="Georgia"/>
          <w:sz w:val="24"/>
          <w:szCs w:val="24"/>
          <w:lang w:eastAsia="en-AU"/>
        </w:rPr>
        <w:t>.</w:t>
      </w:r>
    </w:p>
    <w:p w14:paraId="09B8C0AA" w14:textId="455864F8" w:rsidR="006B1ABE" w:rsidRPr="00EB70F5" w:rsidRDefault="00F43E23" w:rsidP="00EB70F5">
      <w:pPr>
        <w:pStyle w:val="BodyText"/>
        <w:rPr>
          <w:rStyle w:val="Hyperlink"/>
          <w:rFonts w:cs="Arial"/>
          <w:color w:val="333333"/>
          <w:szCs w:val="20"/>
          <w:lang w:eastAsia="en-AU"/>
        </w:rPr>
      </w:pPr>
      <w:r>
        <w:rPr>
          <w:rFonts w:cs="Arial"/>
          <w:szCs w:val="20"/>
          <w:lang w:eastAsia="en-AU"/>
        </w:rPr>
        <w:t xml:space="preserve">The </w:t>
      </w:r>
      <w:r w:rsidR="006B1ABE" w:rsidRPr="006B1ABE">
        <w:rPr>
          <w:rFonts w:cs="Arial"/>
          <w:szCs w:val="20"/>
          <w:lang w:eastAsia="en-AU"/>
        </w:rPr>
        <w:t xml:space="preserve">South-west Marine Parks Network </w:t>
      </w:r>
      <w:r w:rsidR="006B1ABE">
        <w:rPr>
          <w:rFonts w:cs="Arial"/>
          <w:szCs w:val="20"/>
          <w:lang w:eastAsia="en-AU"/>
        </w:rPr>
        <w:t xml:space="preserve">includes the following parks that </w:t>
      </w:r>
      <w:r w:rsidR="005A16F9">
        <w:rPr>
          <w:rFonts w:cs="Arial"/>
          <w:szCs w:val="20"/>
          <w:lang w:eastAsia="en-AU"/>
        </w:rPr>
        <w:t>intersect the Bight Basin</w:t>
      </w:r>
      <w:r w:rsidR="006B1ABE">
        <w:rPr>
          <w:rFonts w:cs="Arial"/>
          <w:szCs w:val="20"/>
          <w:lang w:eastAsia="en-AU"/>
        </w:rPr>
        <w:t>:</w:t>
      </w:r>
      <w:r>
        <w:rPr>
          <w:rFonts w:cs="Arial"/>
          <w:szCs w:val="20"/>
          <w:lang w:eastAsia="en-AU"/>
        </w:rPr>
        <w:t xml:space="preserve"> the South-west Corner Marine Park, the Bremer Marine Park, the </w:t>
      </w:r>
      <w:r w:rsidRPr="00F43E23">
        <w:rPr>
          <w:rFonts w:cs="Arial"/>
          <w:szCs w:val="20"/>
          <w:lang w:eastAsia="en-AU"/>
        </w:rPr>
        <w:t>Eastern Recherche Marine Park</w:t>
      </w:r>
      <w:r>
        <w:rPr>
          <w:rFonts w:cs="Arial"/>
          <w:szCs w:val="20"/>
          <w:lang w:eastAsia="en-AU"/>
        </w:rPr>
        <w:t xml:space="preserve">; the Twilight Marine Park, the </w:t>
      </w:r>
      <w:r w:rsidR="005A16F9">
        <w:rPr>
          <w:rFonts w:cs="Arial"/>
          <w:szCs w:val="20"/>
          <w:lang w:eastAsia="en-AU"/>
        </w:rPr>
        <w:t>Great Australian Bight Marine Park</w:t>
      </w:r>
      <w:r>
        <w:rPr>
          <w:rFonts w:cs="Arial"/>
          <w:szCs w:val="20"/>
          <w:lang w:eastAsia="en-AU"/>
        </w:rPr>
        <w:t xml:space="preserve">, the </w:t>
      </w:r>
      <w:r w:rsidR="005A16F9">
        <w:rPr>
          <w:rFonts w:cs="Arial"/>
          <w:szCs w:val="20"/>
          <w:lang w:eastAsia="en-AU"/>
        </w:rPr>
        <w:t>Murat Marine Park</w:t>
      </w:r>
      <w:r>
        <w:rPr>
          <w:rFonts w:cs="Arial"/>
          <w:szCs w:val="20"/>
          <w:lang w:eastAsia="en-AU"/>
        </w:rPr>
        <w:t xml:space="preserve"> </w:t>
      </w:r>
      <w:r w:rsidR="006B1ABE">
        <w:rPr>
          <w:rFonts w:cs="Arial"/>
          <w:szCs w:val="20"/>
          <w:lang w:eastAsia="en-AU"/>
        </w:rPr>
        <w:t xml:space="preserve">and </w:t>
      </w:r>
      <w:r>
        <w:rPr>
          <w:rFonts w:cs="Arial"/>
          <w:szCs w:val="20"/>
          <w:lang w:eastAsia="en-AU"/>
        </w:rPr>
        <w:t xml:space="preserve">the </w:t>
      </w:r>
      <w:r w:rsidRPr="00F43E23">
        <w:rPr>
          <w:rFonts w:cs="Arial"/>
          <w:szCs w:val="20"/>
          <w:lang w:eastAsia="en-AU"/>
        </w:rPr>
        <w:t>Western Eyre Marine Park</w:t>
      </w:r>
      <w:r w:rsidR="009D23A3">
        <w:rPr>
          <w:rFonts w:cs="Arial"/>
          <w:szCs w:val="20"/>
          <w:lang w:eastAsia="en-AU"/>
        </w:rPr>
        <w:t>.</w:t>
      </w:r>
      <w:r w:rsidR="00EB70F5">
        <w:rPr>
          <w:rFonts w:cs="Arial"/>
          <w:szCs w:val="20"/>
          <w:lang w:eastAsia="en-AU"/>
        </w:rPr>
        <w:t xml:space="preserve"> </w:t>
      </w:r>
      <w:r w:rsidR="005A16F9">
        <w:rPr>
          <w:rStyle w:val="BodyTextChar"/>
        </w:rPr>
        <w:t>Management plans</w:t>
      </w:r>
      <w:r w:rsidR="00EB70F5">
        <w:rPr>
          <w:rStyle w:val="BodyTextChar"/>
        </w:rPr>
        <w:t xml:space="preserve"> and </w:t>
      </w:r>
      <w:r w:rsidR="00EB70F5" w:rsidRPr="00EB70F5">
        <w:rPr>
          <w:rStyle w:val="BodyTextChar"/>
        </w:rPr>
        <w:t>values of individual marine</w:t>
      </w:r>
      <w:r w:rsidR="00EB70F5">
        <w:rPr>
          <w:rStyle w:val="BodyTextChar"/>
        </w:rPr>
        <w:t xml:space="preserve"> </w:t>
      </w:r>
      <w:r w:rsidR="00EB70F5" w:rsidRPr="00EB70F5">
        <w:rPr>
          <w:rStyle w:val="BodyTextChar"/>
        </w:rPr>
        <w:t xml:space="preserve">parks </w:t>
      </w:r>
      <w:r w:rsidR="00EB70F5">
        <w:rPr>
          <w:rStyle w:val="BodyTextChar"/>
        </w:rPr>
        <w:t>of</w:t>
      </w:r>
      <w:r w:rsidR="005A16F9">
        <w:rPr>
          <w:rStyle w:val="BodyTextChar"/>
        </w:rPr>
        <w:t xml:space="preserve"> </w:t>
      </w:r>
      <w:r w:rsidR="006B1ABE">
        <w:rPr>
          <w:rStyle w:val="BodyTextChar"/>
        </w:rPr>
        <w:t>the Sou</w:t>
      </w:r>
      <w:r w:rsidR="006B1ABE" w:rsidRPr="00577FBB">
        <w:rPr>
          <w:rStyle w:val="BodyTextChar"/>
        </w:rPr>
        <w:t>th-west Marine Parks Network</w:t>
      </w:r>
      <w:r w:rsidR="005A16F9" w:rsidRPr="00577FBB">
        <w:rPr>
          <w:rStyle w:val="BodyTextChar"/>
        </w:rPr>
        <w:t xml:space="preserve"> can be viewed at:</w:t>
      </w:r>
      <w:r w:rsidR="005A16F9">
        <w:t xml:space="preserve"> </w:t>
      </w:r>
      <w:hyperlink r:id="rId30" w:history="1">
        <w:r w:rsidR="005A16F9" w:rsidRPr="009E5EA7">
          <w:rPr>
            <w:rStyle w:val="Hyperlink"/>
          </w:rPr>
          <w:t>https://parksaustralia.gov.au/marine/pub/plans/south-west-management-plan-2018.pdf</w:t>
        </w:r>
      </w:hyperlink>
      <w:r w:rsidR="006B1ABE">
        <w:rPr>
          <w:rStyle w:val="Hyperlink"/>
        </w:rPr>
        <w:t>.</w:t>
      </w:r>
    </w:p>
    <w:p w14:paraId="542CECC1" w14:textId="3514549E" w:rsidR="00EB70F5" w:rsidRDefault="00EB70F5" w:rsidP="00EB70F5">
      <w:pPr>
        <w:pStyle w:val="BodyText"/>
        <w:rPr>
          <w:rStyle w:val="Hyperlink"/>
          <w:color w:val="auto"/>
        </w:rPr>
      </w:pPr>
      <w:r>
        <w:rPr>
          <w:rStyle w:val="Hyperlink"/>
          <w:color w:val="auto"/>
        </w:rPr>
        <w:t>Below is a</w:t>
      </w:r>
      <w:r w:rsidRPr="00EB70F5">
        <w:rPr>
          <w:rStyle w:val="Hyperlink"/>
          <w:color w:val="auto"/>
        </w:rPr>
        <w:t xml:space="preserve"> summary of the values of the </w:t>
      </w:r>
      <w:r>
        <w:rPr>
          <w:rStyle w:val="Hyperlink"/>
          <w:color w:val="auto"/>
        </w:rPr>
        <w:t>parks of the South-west Network,</w:t>
      </w:r>
      <w:r w:rsidRPr="0094003D">
        <w:rPr>
          <w:rStyle w:val="Hyperlink"/>
          <w:color w:val="auto"/>
        </w:rPr>
        <w:t xml:space="preserve"> </w:t>
      </w:r>
      <w:r>
        <w:rPr>
          <w:rStyle w:val="Hyperlink"/>
          <w:color w:val="auto"/>
        </w:rPr>
        <w:t xml:space="preserve">extracted </w:t>
      </w:r>
      <w:r w:rsidRPr="0094003D">
        <w:rPr>
          <w:rStyle w:val="Hyperlink"/>
          <w:color w:val="auto"/>
        </w:rPr>
        <w:t>from th</w:t>
      </w:r>
      <w:r>
        <w:rPr>
          <w:rStyle w:val="Hyperlink"/>
          <w:color w:val="auto"/>
        </w:rPr>
        <w:t>e</w:t>
      </w:r>
      <w:r w:rsidRPr="0094003D">
        <w:rPr>
          <w:rStyle w:val="Hyperlink"/>
          <w:color w:val="auto"/>
        </w:rPr>
        <w:t xml:space="preserve"> plan</w:t>
      </w:r>
      <w:r>
        <w:rPr>
          <w:rStyle w:val="Hyperlink"/>
          <w:color w:val="auto"/>
        </w:rPr>
        <w:t>:</w:t>
      </w:r>
    </w:p>
    <w:p w14:paraId="67FEEFE3" w14:textId="696957ED" w:rsidR="00EB70F5" w:rsidRDefault="00EB70F5" w:rsidP="00EB70F5">
      <w:pPr>
        <w:pStyle w:val="BodyText"/>
        <w:rPr>
          <w:rStyle w:val="Hyperlink"/>
          <w:color w:val="auto"/>
        </w:rPr>
      </w:pPr>
      <w:r w:rsidRPr="00577FBB">
        <w:rPr>
          <w:b/>
        </w:rPr>
        <w:t>Statement of significance</w:t>
      </w:r>
    </w:p>
    <w:p w14:paraId="151F72D4" w14:textId="77777777" w:rsidR="00362AA7" w:rsidRPr="00851BA3" w:rsidRDefault="00EB70F5" w:rsidP="00851BA3">
      <w:pPr>
        <w:pStyle w:val="BodyText"/>
        <w:rPr>
          <w:rFonts w:cs="Arial"/>
          <w:szCs w:val="20"/>
          <w:lang w:eastAsia="en-AU"/>
        </w:rPr>
      </w:pPr>
      <w:r w:rsidRPr="00851BA3">
        <w:rPr>
          <w:rFonts w:cs="Arial"/>
          <w:szCs w:val="20"/>
          <w:lang w:eastAsia="en-AU"/>
        </w:rPr>
        <w:t>The South-west Network was designed to protect representative examples of the region’s ecosystems and biodiversity in accordance with the Goals and principles for the establishment of the National Representative System of Marine Protected Areas in Commonwealth waters (ANZECC, 1998).</w:t>
      </w:r>
    </w:p>
    <w:p w14:paraId="1175E964" w14:textId="77777777" w:rsidR="00362AA7" w:rsidRPr="00851BA3" w:rsidRDefault="00EB70F5" w:rsidP="00362AA7">
      <w:pPr>
        <w:pStyle w:val="BodyText"/>
        <w:rPr>
          <w:rFonts w:ascii="Arial Bold" w:hAnsi="Arial Bold"/>
          <w:b/>
          <w:i/>
          <w:kern w:val="32"/>
          <w:szCs w:val="20"/>
        </w:rPr>
      </w:pPr>
      <w:r w:rsidRPr="00851BA3">
        <w:rPr>
          <w:rFonts w:ascii="Arial Bold" w:hAnsi="Arial Bold"/>
          <w:b/>
          <w:i/>
          <w:kern w:val="32"/>
          <w:szCs w:val="20"/>
        </w:rPr>
        <w:t>Natural values</w:t>
      </w:r>
    </w:p>
    <w:p w14:paraId="6323CAED" w14:textId="30F3213D" w:rsidR="00362AA7" w:rsidRPr="00362AA7" w:rsidRDefault="00EB70F5" w:rsidP="00362AA7">
      <w:pPr>
        <w:pStyle w:val="BodyText"/>
      </w:pPr>
      <w:r w:rsidRPr="00362AA7">
        <w:rPr>
          <w:i/>
        </w:rPr>
        <w:t>Bioregions</w:t>
      </w:r>
      <w:r w:rsidRPr="00362AA7">
        <w:t>—the South-west Marine Region is divided into areas of ocean with broadly similar characteristics based on the distribution of marine species and seafloor features. The South-west Network represents examples of the region’s marine environments including ecosystems, species and habitats. There are nine bioreg</w:t>
      </w:r>
      <w:r w:rsidR="0010269F">
        <w:t>ions represented in the Network</w:t>
      </w:r>
      <w:r w:rsidRPr="00362AA7">
        <w:t xml:space="preserve">. </w:t>
      </w:r>
    </w:p>
    <w:p w14:paraId="334F424A" w14:textId="77777777" w:rsidR="00362AA7" w:rsidRPr="00362AA7" w:rsidRDefault="00EB70F5" w:rsidP="00362AA7">
      <w:pPr>
        <w:pStyle w:val="BodyText"/>
      </w:pPr>
      <w:r w:rsidRPr="00362AA7">
        <w:rPr>
          <w:i/>
        </w:rPr>
        <w:t>Key ecological features</w:t>
      </w:r>
      <w:r w:rsidRPr="00362AA7">
        <w:t xml:space="preserve">—elements of the marine environment considered to be of importance for biodiversity or ecosystem function and integrity, represented in the Network are: </w:t>
      </w:r>
    </w:p>
    <w:p w14:paraId="7E5E4250" w14:textId="046BB6C4" w:rsidR="004A5D39" w:rsidRPr="0012369B" w:rsidRDefault="00EB70F5" w:rsidP="00851BA3">
      <w:pPr>
        <w:pStyle w:val="bodybullet"/>
      </w:pPr>
      <w:r w:rsidRPr="0012369B">
        <w:t xml:space="preserve">Albany Canyons Group and adjacent shelf break; </w:t>
      </w:r>
    </w:p>
    <w:p w14:paraId="644F8546" w14:textId="77777777" w:rsidR="004A5D39" w:rsidRPr="0012369B" w:rsidRDefault="00EB70F5" w:rsidP="00851BA3">
      <w:pPr>
        <w:pStyle w:val="bodybullet"/>
      </w:pPr>
      <w:r w:rsidRPr="0012369B">
        <w:t xml:space="preserve">Ancient coastline at the 90–120 m depth contour; </w:t>
      </w:r>
    </w:p>
    <w:p w14:paraId="144181D1" w14:textId="77777777" w:rsidR="004A5D39" w:rsidRPr="0012369B" w:rsidRDefault="00EB70F5" w:rsidP="00851BA3">
      <w:pPr>
        <w:pStyle w:val="bodybullet"/>
      </w:pPr>
      <w:r w:rsidRPr="0012369B">
        <w:t xml:space="preserve">Cape </w:t>
      </w:r>
      <w:proofErr w:type="spellStart"/>
      <w:r w:rsidRPr="0012369B">
        <w:t>Mentelle</w:t>
      </w:r>
      <w:proofErr w:type="spellEnd"/>
      <w:r w:rsidRPr="0012369B">
        <w:t xml:space="preserve"> upwelling; </w:t>
      </w:r>
    </w:p>
    <w:p w14:paraId="71DE27EE" w14:textId="77777777" w:rsidR="004A5D39" w:rsidRPr="0012369B" w:rsidRDefault="00EB70F5" w:rsidP="00851BA3">
      <w:pPr>
        <w:pStyle w:val="bodybullet"/>
      </w:pPr>
      <w:r w:rsidRPr="0012369B">
        <w:t xml:space="preserve">Commonwealth marine environment surrounding the Houtman </w:t>
      </w:r>
      <w:proofErr w:type="spellStart"/>
      <w:r w:rsidRPr="0012369B">
        <w:t>Abrolhos</w:t>
      </w:r>
      <w:proofErr w:type="spellEnd"/>
      <w:r w:rsidRPr="0012369B">
        <w:t xml:space="preserve"> Islands;</w:t>
      </w:r>
    </w:p>
    <w:p w14:paraId="748E1BD8" w14:textId="77777777" w:rsidR="004A5D39" w:rsidRPr="0012369B" w:rsidRDefault="00EB70F5" w:rsidP="00851BA3">
      <w:pPr>
        <w:pStyle w:val="bodybullet"/>
      </w:pPr>
      <w:r w:rsidRPr="0012369B">
        <w:t>Commonwealth marine environment surround</w:t>
      </w:r>
      <w:r w:rsidR="004A5D39" w:rsidRPr="0012369B">
        <w:t xml:space="preserve">ing the </w:t>
      </w:r>
      <w:proofErr w:type="spellStart"/>
      <w:r w:rsidR="004A5D39" w:rsidRPr="0012369B">
        <w:t>Recherche</w:t>
      </w:r>
      <w:proofErr w:type="spellEnd"/>
      <w:r w:rsidR="004A5D39" w:rsidRPr="0012369B">
        <w:t xml:space="preserve"> Archipelago;</w:t>
      </w:r>
    </w:p>
    <w:p w14:paraId="59AED28D" w14:textId="77777777" w:rsidR="004A5D39" w:rsidRPr="0012369B" w:rsidRDefault="00EB70F5" w:rsidP="00851BA3">
      <w:pPr>
        <w:pStyle w:val="bodybullet"/>
      </w:pPr>
      <w:r w:rsidRPr="0012369B">
        <w:t xml:space="preserve">Commonwealth marine environment within and adjacent to </w:t>
      </w:r>
      <w:proofErr w:type="spellStart"/>
      <w:r w:rsidRPr="0012369B">
        <w:t>Geographe</w:t>
      </w:r>
      <w:proofErr w:type="spellEnd"/>
      <w:r w:rsidRPr="0012369B">
        <w:t xml:space="preserve"> Bay;</w:t>
      </w:r>
    </w:p>
    <w:p w14:paraId="506943CD" w14:textId="77777777" w:rsidR="004A5D39" w:rsidRPr="0012369B" w:rsidRDefault="00EB70F5" w:rsidP="00851BA3">
      <w:pPr>
        <w:pStyle w:val="bodybullet"/>
      </w:pPr>
      <w:r w:rsidRPr="0012369B">
        <w:t>Commonwealth marine environment within and adjacent to th</w:t>
      </w:r>
      <w:r w:rsidR="004A5D39" w:rsidRPr="0012369B">
        <w:t xml:space="preserve">e west-coast inshore lagoons; </w:t>
      </w:r>
    </w:p>
    <w:p w14:paraId="028AAD42" w14:textId="77777777" w:rsidR="004A5D39" w:rsidRPr="0012369B" w:rsidRDefault="004A5D39" w:rsidP="00851BA3">
      <w:pPr>
        <w:pStyle w:val="bodybullet"/>
      </w:pPr>
      <w:r w:rsidRPr="0012369B">
        <w:t>Diamantina Fracture Zone;</w:t>
      </w:r>
    </w:p>
    <w:p w14:paraId="744B9EEA" w14:textId="77777777" w:rsidR="004A5D39" w:rsidRPr="0012369B" w:rsidRDefault="00EB70F5" w:rsidP="00851BA3">
      <w:pPr>
        <w:pStyle w:val="bodybullet"/>
      </w:pPr>
      <w:r w:rsidRPr="0012369B">
        <w:lastRenderedPageBreak/>
        <w:t xml:space="preserve">Kangaroo Island Pool, canyons and adjacent shelf break, and Eyre Peninsula </w:t>
      </w:r>
      <w:proofErr w:type="spellStart"/>
      <w:r w:rsidRPr="0012369B">
        <w:t>upwellings</w:t>
      </w:r>
      <w:proofErr w:type="spellEnd"/>
      <w:r w:rsidRPr="0012369B">
        <w:t>;</w:t>
      </w:r>
    </w:p>
    <w:p w14:paraId="76FD9FB5" w14:textId="77777777" w:rsidR="004A5D39" w:rsidRPr="0012369B" w:rsidRDefault="004A5D39" w:rsidP="00851BA3">
      <w:pPr>
        <w:pStyle w:val="bodybullet"/>
      </w:pPr>
      <w:r w:rsidRPr="0012369B">
        <w:t>Naturaliste Plateau;</w:t>
      </w:r>
    </w:p>
    <w:p w14:paraId="22238B90" w14:textId="77777777" w:rsidR="004A5D39" w:rsidRPr="0012369B" w:rsidRDefault="00EB70F5" w:rsidP="00851BA3">
      <w:pPr>
        <w:pStyle w:val="bodybullet"/>
      </w:pPr>
      <w:r w:rsidRPr="0012369B">
        <w:t>Perth Canyon and adjacent shelf break,</w:t>
      </w:r>
      <w:r w:rsidR="004A5D39" w:rsidRPr="0012369B">
        <w:t xml:space="preserve"> and other west-coast canyons;</w:t>
      </w:r>
    </w:p>
    <w:p w14:paraId="4CF680C1" w14:textId="380432F2" w:rsidR="004A5D39" w:rsidRPr="0012369B" w:rsidRDefault="004A5D39" w:rsidP="00851BA3">
      <w:pPr>
        <w:pStyle w:val="bodybullet"/>
      </w:pPr>
      <w:r w:rsidRPr="0012369B">
        <w:t>Wallaby Saddle;</w:t>
      </w:r>
    </w:p>
    <w:p w14:paraId="562D20BF" w14:textId="77777777" w:rsidR="004A5D39" w:rsidRPr="0012369B" w:rsidRDefault="00EB70F5" w:rsidP="00851BA3">
      <w:pPr>
        <w:pStyle w:val="bodybullet"/>
      </w:pPr>
      <w:r w:rsidRPr="0012369B">
        <w:t>Western demersal slope and associated fish communities; and</w:t>
      </w:r>
    </w:p>
    <w:p w14:paraId="3782AA29" w14:textId="77777777" w:rsidR="004A5D39" w:rsidRPr="0012369B" w:rsidRDefault="00EB70F5" w:rsidP="00851BA3">
      <w:pPr>
        <w:pStyle w:val="bodybullet"/>
      </w:pPr>
      <w:r w:rsidRPr="0012369B">
        <w:t xml:space="preserve">Western rock lobster. </w:t>
      </w:r>
    </w:p>
    <w:p w14:paraId="658CEBFE" w14:textId="43748C39" w:rsidR="004A5D39" w:rsidRDefault="00EB70F5" w:rsidP="0012369B">
      <w:pPr>
        <w:pStyle w:val="BodyText"/>
      </w:pPr>
      <w:r w:rsidRPr="0012369B">
        <w:rPr>
          <w:i/>
        </w:rPr>
        <w:t>Species and habitats</w:t>
      </w:r>
      <w:r w:rsidRPr="004A5D39">
        <w:t>—all species and habitats are important components of the ecosystems represented in the South-west Network. Many species are protected under the EPBC Act and international agreements such as the Convention on the Conservation of Migratory Species (CMS or Bonn Convention), the Japan– Australia Migratory Bird Agreement (JAMBA), the China–Australia Migratory Bird Agreement (CAMBA), and the Republic of Korea–Australia Migratory Bird Agreement (ROKAMBA). Further infor</w:t>
      </w:r>
      <w:r w:rsidR="004A5D39">
        <w:t>mation on these agreements is available in the plan</w:t>
      </w:r>
      <w:r w:rsidRPr="004A5D39">
        <w:t xml:space="preserve">. </w:t>
      </w:r>
    </w:p>
    <w:p w14:paraId="363E94A3" w14:textId="77777777" w:rsidR="0010269F" w:rsidRDefault="00362AA7" w:rsidP="0012369B">
      <w:pPr>
        <w:pStyle w:val="BodyText"/>
      </w:pPr>
      <w:r w:rsidRPr="0012369B">
        <w:rPr>
          <w:i/>
        </w:rPr>
        <w:t>Biologically important areas</w:t>
      </w:r>
      <w:r w:rsidRPr="004A5D39">
        <w:t>—</w:t>
      </w:r>
      <w:r>
        <w:t>t</w:t>
      </w:r>
      <w:r w:rsidR="00EB70F5" w:rsidRPr="004A5D39">
        <w:t>he South-west Network supports important habitats, including biologically important areas, for a range of protected species. Biologically important areas are where aggregations of individuals of a protected species breed, forage or rest during migration. More information on protected species and biologically important areas can be found in the Marine bioregional plan for the South-west Marine Region (2012) and the conservation values atlas on the Department’s website</w:t>
      </w:r>
    </w:p>
    <w:p w14:paraId="589CCA2A" w14:textId="60A23A4F" w:rsidR="006B1ABE" w:rsidRPr="00236BD1" w:rsidRDefault="0010269F" w:rsidP="0010269F">
      <w:pPr>
        <w:pStyle w:val="BodyText"/>
        <w:spacing w:before="400"/>
        <w:rPr>
          <w:rFonts w:cs="Arial"/>
          <w:sz w:val="22"/>
          <w:szCs w:val="20"/>
          <w:lang w:eastAsia="en-AU"/>
        </w:rPr>
      </w:pPr>
      <w:r w:rsidRPr="00236BD1">
        <w:rPr>
          <w:rFonts w:cs="Arial"/>
          <w:i/>
          <w:kern w:val="32"/>
          <w:sz w:val="22"/>
          <w:szCs w:val="20"/>
        </w:rPr>
        <w:t>The Murray Commonwealth Marine Reserve</w:t>
      </w:r>
    </w:p>
    <w:p w14:paraId="0945D7AA" w14:textId="05A72BD1" w:rsidR="00F22922" w:rsidRDefault="006B1ABE" w:rsidP="0012369B">
      <w:pPr>
        <w:pStyle w:val="BodyText"/>
      </w:pPr>
      <w:r w:rsidRPr="0010269F">
        <w:rPr>
          <w:szCs w:val="20"/>
          <w:lang w:eastAsia="en-AU"/>
        </w:rPr>
        <w:t xml:space="preserve">The </w:t>
      </w:r>
      <w:hyperlink r:id="rId31" w:history="1">
        <w:r w:rsidRPr="00236BD1">
          <w:rPr>
            <w:rStyle w:val="Hyperlink"/>
            <w:rFonts w:cs="Arial"/>
            <w:lang w:eastAsia="en-AU"/>
          </w:rPr>
          <w:t xml:space="preserve">Murray </w:t>
        </w:r>
        <w:r w:rsidR="0010269F" w:rsidRPr="00236BD1">
          <w:rPr>
            <w:rStyle w:val="Hyperlink"/>
            <w:rFonts w:cs="Arial"/>
            <w:lang w:eastAsia="en-AU"/>
          </w:rPr>
          <w:t>Commonwealth Marine Reserve</w:t>
        </w:r>
      </w:hyperlink>
      <w:r w:rsidRPr="0010269F">
        <w:rPr>
          <w:szCs w:val="20"/>
          <w:lang w:eastAsia="en-AU"/>
        </w:rPr>
        <w:t xml:space="preserve">, that forms part of the </w:t>
      </w:r>
      <w:hyperlink r:id="rId32" w:history="1">
        <w:r w:rsidRPr="00236BD1">
          <w:rPr>
            <w:rStyle w:val="Hyperlink"/>
            <w:rFonts w:cs="Arial"/>
            <w:lang w:eastAsia="en-AU"/>
          </w:rPr>
          <w:t>South-east Marine Reserves Network</w:t>
        </w:r>
      </w:hyperlink>
      <w:r w:rsidRPr="0010269F">
        <w:rPr>
          <w:szCs w:val="20"/>
          <w:lang w:eastAsia="en-AU"/>
        </w:rPr>
        <w:t>, intersects the Bight Basin</w:t>
      </w:r>
      <w:r w:rsidR="0010269F" w:rsidRPr="0010269F">
        <w:rPr>
          <w:lang w:eastAsia="en-AU"/>
        </w:rPr>
        <w:t>.</w:t>
      </w:r>
      <w:r w:rsidR="0010269F" w:rsidRPr="0010269F">
        <w:t xml:space="preserve"> The Murray Commonwealth Marine Reserve spans an extensive area across the</w:t>
      </w:r>
      <w:r w:rsidR="0010269F">
        <w:t xml:space="preserve"> </w:t>
      </w:r>
      <w:proofErr w:type="spellStart"/>
      <w:r w:rsidR="0010269F" w:rsidRPr="0010269F">
        <w:t>Lacepede</w:t>
      </w:r>
      <w:proofErr w:type="spellEnd"/>
      <w:r w:rsidR="0010269F" w:rsidRPr="0010269F">
        <w:t xml:space="preserve"> Shelf, continental slope and deeper water ecosystems that extend from</w:t>
      </w:r>
      <w:r w:rsidR="0010269F">
        <w:t xml:space="preserve"> </w:t>
      </w:r>
      <w:r w:rsidR="0010269F" w:rsidRPr="0010269F">
        <w:t>South Australia to Tasmania. The reserve contains the Murray Canyon, which is</w:t>
      </w:r>
      <w:r w:rsidR="0010269F">
        <w:t xml:space="preserve"> </w:t>
      </w:r>
      <w:r w:rsidR="0010269F" w:rsidRPr="0010269F">
        <w:t>considered one of the most spectacular geological formations on the Australian</w:t>
      </w:r>
      <w:r w:rsidR="0010269F">
        <w:t xml:space="preserve"> </w:t>
      </w:r>
      <w:r w:rsidR="0010269F" w:rsidRPr="0010269F">
        <w:t>continent margin. The canyon is deeper than America’s Grand Canyon, descending</w:t>
      </w:r>
      <w:r w:rsidR="0010269F">
        <w:t xml:space="preserve"> </w:t>
      </w:r>
      <w:r w:rsidR="0010269F" w:rsidRPr="0010269F">
        <w:t>to 4600 m below sea level and stretching for more than 150 km.</w:t>
      </w:r>
    </w:p>
    <w:p w14:paraId="148FE786" w14:textId="77777777" w:rsidR="00F22922" w:rsidRDefault="0010269F" w:rsidP="0012369B">
      <w:pPr>
        <w:pStyle w:val="BodyText"/>
        <w:rPr>
          <w:i/>
        </w:rPr>
      </w:pPr>
      <w:r w:rsidRPr="0010269F">
        <w:t>The reserve protects samples of the key features in the area, including continental</w:t>
      </w:r>
      <w:r>
        <w:rPr>
          <w:i/>
        </w:rPr>
        <w:t xml:space="preserve"> </w:t>
      </w:r>
      <w:r w:rsidRPr="0010269F">
        <w:t xml:space="preserve">shelf and slope, abyssal plain and </w:t>
      </w:r>
      <w:proofErr w:type="spellStart"/>
      <w:r w:rsidRPr="0010269F">
        <w:t>Sprigg</w:t>
      </w:r>
      <w:proofErr w:type="spellEnd"/>
      <w:r w:rsidRPr="0010269F">
        <w:t xml:space="preserve"> Canyon.</w:t>
      </w:r>
      <w:r>
        <w:rPr>
          <w:i/>
        </w:rPr>
        <w:t xml:space="preserve"> </w:t>
      </w:r>
    </w:p>
    <w:p w14:paraId="37BFCCF1" w14:textId="382F95BB" w:rsidR="0010269F" w:rsidRPr="008B56BD" w:rsidRDefault="0010269F" w:rsidP="0012369B">
      <w:pPr>
        <w:pStyle w:val="BodyText"/>
      </w:pPr>
      <w:r w:rsidRPr="0010269F">
        <w:t>The reserve is important for many marine species, including those migrating</w:t>
      </w:r>
      <w:r>
        <w:rPr>
          <w:i/>
        </w:rPr>
        <w:t xml:space="preserve"> </w:t>
      </w:r>
      <w:r w:rsidRPr="0010269F">
        <w:t>through its inshore waters. The southern right whale uses the inshore area of the</w:t>
      </w:r>
      <w:r>
        <w:rPr>
          <w:i/>
        </w:rPr>
        <w:t xml:space="preserve"> </w:t>
      </w:r>
      <w:r w:rsidRPr="0010269F">
        <w:t>reserve to nurse its young. Offshore, many seabird species can be seen foraging.</w:t>
      </w:r>
      <w:r>
        <w:rPr>
          <w:i/>
        </w:rPr>
        <w:t xml:space="preserve"> </w:t>
      </w:r>
      <w:r w:rsidRPr="0010269F">
        <w:t xml:space="preserve">Upwelling of nutrient-rich water occurs in the reserve, although these </w:t>
      </w:r>
      <w:proofErr w:type="spellStart"/>
      <w:r w:rsidRPr="0010269F">
        <w:t>upwellings</w:t>
      </w:r>
      <w:proofErr w:type="spellEnd"/>
      <w:r w:rsidRPr="0010269F">
        <w:t xml:space="preserve"> are</w:t>
      </w:r>
      <w:r>
        <w:rPr>
          <w:i/>
        </w:rPr>
        <w:t xml:space="preserve"> </w:t>
      </w:r>
      <w:r w:rsidRPr="0010269F">
        <w:t>less strong than to the east where they are known as the Bonney Upwelling. Blue</w:t>
      </w:r>
      <w:r>
        <w:rPr>
          <w:i/>
        </w:rPr>
        <w:t xml:space="preserve"> </w:t>
      </w:r>
      <w:r w:rsidRPr="0010269F">
        <w:t>whales have been sighted on several occasions in the reserve. White shark also</w:t>
      </w:r>
      <w:r>
        <w:rPr>
          <w:i/>
        </w:rPr>
        <w:t xml:space="preserve"> </w:t>
      </w:r>
      <w:r w:rsidRPr="0010269F">
        <w:t>forage in the reserve</w:t>
      </w:r>
      <w:r w:rsidRPr="008C4FDF">
        <w:rPr>
          <w:i/>
        </w:rPr>
        <w:t xml:space="preserve"> </w:t>
      </w:r>
    </w:p>
    <w:p w14:paraId="6FC78D0D" w14:textId="4213899D" w:rsidR="006B1ABE" w:rsidRPr="009D23A3" w:rsidRDefault="006B1ABE" w:rsidP="009D23A3">
      <w:pPr>
        <w:pStyle w:val="BodyText"/>
        <w:rPr>
          <w:rFonts w:cs="Arial"/>
          <w:szCs w:val="20"/>
          <w:lang w:eastAsia="en-AU"/>
        </w:rPr>
      </w:pPr>
      <w:r>
        <w:rPr>
          <w:rStyle w:val="BodyTextChar"/>
        </w:rPr>
        <w:t xml:space="preserve">Management plans for the </w:t>
      </w:r>
      <w:r w:rsidRPr="006B1ABE">
        <w:rPr>
          <w:rStyle w:val="BodyTextChar"/>
        </w:rPr>
        <w:t>South-east Marine Reserves Network</w:t>
      </w:r>
      <w:r w:rsidR="0010269F">
        <w:rPr>
          <w:rStyle w:val="BodyTextChar"/>
        </w:rPr>
        <w:t xml:space="preserve">, including the Murray </w:t>
      </w:r>
      <w:r w:rsidR="0010269F" w:rsidRPr="0010269F">
        <w:rPr>
          <w:rStyle w:val="BodyTextChar"/>
        </w:rPr>
        <w:t>Commonwealth Marine Reserve</w:t>
      </w:r>
      <w:r w:rsidR="0010269F">
        <w:rPr>
          <w:rStyle w:val="BodyTextChar"/>
        </w:rPr>
        <w:t>,</w:t>
      </w:r>
      <w:r w:rsidRPr="006B1ABE">
        <w:rPr>
          <w:rStyle w:val="BodyTextChar"/>
        </w:rPr>
        <w:t xml:space="preserve"> </w:t>
      </w:r>
      <w:r w:rsidRPr="00577FBB">
        <w:rPr>
          <w:rStyle w:val="BodyTextChar"/>
        </w:rPr>
        <w:t>are in place, and can be viewed at:</w:t>
      </w:r>
    </w:p>
    <w:p w14:paraId="7CE4C853" w14:textId="2CF0AF5F" w:rsidR="009D23A3" w:rsidRDefault="009D23A3" w:rsidP="009D23A3">
      <w:pPr>
        <w:pStyle w:val="BodyText"/>
        <w:rPr>
          <w:rStyle w:val="Hyperlink"/>
        </w:rPr>
      </w:pPr>
      <w:r w:rsidRPr="009D23A3">
        <w:rPr>
          <w:rStyle w:val="Hyperlink"/>
        </w:rPr>
        <w:t>https://parksaustralia.gov.au/marine/pub/plans/se-network-management-plan2013-</w:t>
      </w:r>
      <w:hyperlink r:id="rId33" w:history="1">
        <w:r w:rsidRPr="009D23A3">
          <w:rPr>
            <w:rStyle w:val="Hyperlink"/>
          </w:rPr>
          <w:t>23</w:t>
        </w:r>
      </w:hyperlink>
      <w:r w:rsidRPr="009D23A3">
        <w:rPr>
          <w:rStyle w:val="Hyperlink"/>
        </w:rPr>
        <w:t>.pdf</w:t>
      </w:r>
    </w:p>
    <w:p w14:paraId="712D9977" w14:textId="77777777" w:rsidR="005A16F9" w:rsidRDefault="005A16F9" w:rsidP="005A16F9">
      <w:pPr>
        <w:pStyle w:val="Heading3"/>
        <w:rPr>
          <w:color w:val="auto"/>
        </w:rPr>
      </w:pPr>
      <w:r>
        <w:rPr>
          <w:color w:val="auto"/>
        </w:rPr>
        <w:t>South Australian Marine Parks</w:t>
      </w:r>
    </w:p>
    <w:p w14:paraId="7D655D51" w14:textId="3E0041A5" w:rsidR="005A16F9" w:rsidRDefault="005A16F9" w:rsidP="005A16F9">
      <w:pPr>
        <w:pStyle w:val="BodyText"/>
      </w:pPr>
      <w:r>
        <w:t xml:space="preserve">South Australia contains </w:t>
      </w:r>
      <w:hyperlink r:id="rId34" w:history="1">
        <w:r w:rsidRPr="0012369B">
          <w:rPr>
            <w:rStyle w:val="Hyperlink"/>
          </w:rPr>
          <w:t>19 marine parks</w:t>
        </w:r>
      </w:hyperlink>
      <w:r>
        <w:t xml:space="preserve">, nature reserves, and management areas. These marine protected areas were created to protect natural features and aesthetic values of the marine environment whilst also allowing recreational and commercial uses that do not </w:t>
      </w:r>
      <w:r w:rsidRPr="003545ED">
        <w:t xml:space="preserve">compromise conservation values. </w:t>
      </w:r>
      <w:r w:rsidRPr="008C4FDF">
        <w:t xml:space="preserve">The Far West Coast </w:t>
      </w:r>
      <w:r>
        <w:t xml:space="preserve">Marine Park </w:t>
      </w:r>
      <w:r w:rsidRPr="008C4FDF">
        <w:t xml:space="preserve">and </w:t>
      </w:r>
      <w:proofErr w:type="spellStart"/>
      <w:r w:rsidRPr="008C4FDF">
        <w:t>Nuyts</w:t>
      </w:r>
      <w:proofErr w:type="spellEnd"/>
      <w:r w:rsidRPr="008C4FDF">
        <w:t xml:space="preserve"> Archipelago Marine Park are proximal to the Bight Basin.</w:t>
      </w:r>
    </w:p>
    <w:p w14:paraId="34B9ECA1" w14:textId="77777777" w:rsidR="005A16F9" w:rsidRPr="00236BD1" w:rsidRDefault="005A16F9" w:rsidP="005A16F9">
      <w:pPr>
        <w:pStyle w:val="Heading5"/>
        <w:rPr>
          <w:sz w:val="22"/>
        </w:rPr>
      </w:pPr>
      <w:r w:rsidRPr="00236BD1">
        <w:rPr>
          <w:sz w:val="22"/>
        </w:rPr>
        <w:t xml:space="preserve">Far West Coast and </w:t>
      </w:r>
      <w:proofErr w:type="spellStart"/>
      <w:r w:rsidRPr="00236BD1">
        <w:rPr>
          <w:sz w:val="22"/>
        </w:rPr>
        <w:t>Nuyts</w:t>
      </w:r>
      <w:proofErr w:type="spellEnd"/>
      <w:r w:rsidRPr="00236BD1">
        <w:rPr>
          <w:sz w:val="22"/>
        </w:rPr>
        <w:t xml:space="preserve"> Archipelago Marine Parks</w:t>
      </w:r>
    </w:p>
    <w:p w14:paraId="5BB7AE3C" w14:textId="77777777" w:rsidR="005A16F9" w:rsidRPr="003545ED" w:rsidRDefault="005A16F9" w:rsidP="005A16F9">
      <w:pPr>
        <w:pStyle w:val="BodyText"/>
      </w:pPr>
      <w:r>
        <w:t xml:space="preserve">Located between the Western Australian border and the </w:t>
      </w:r>
      <w:proofErr w:type="spellStart"/>
      <w:r>
        <w:t>Tchalingaby</w:t>
      </w:r>
      <w:proofErr w:type="spellEnd"/>
      <w:r>
        <w:t xml:space="preserve"> </w:t>
      </w:r>
      <w:proofErr w:type="spellStart"/>
      <w:r>
        <w:t>Sandhills</w:t>
      </w:r>
      <w:proofErr w:type="spellEnd"/>
      <w:r>
        <w:t xml:space="preserve"> t</w:t>
      </w:r>
      <w:r w:rsidRPr="003545ED">
        <w:t xml:space="preserve">he </w:t>
      </w:r>
      <w:hyperlink r:id="rId35" w:tooltip="Far West Coast Marine Parks" w:history="1">
        <w:r w:rsidRPr="003545ED">
          <w:rPr>
            <w:rStyle w:val="Hyperlink"/>
          </w:rPr>
          <w:t>Far West Coast</w:t>
        </w:r>
      </w:hyperlink>
      <w:r w:rsidRPr="003545ED">
        <w:t xml:space="preserve"> </w:t>
      </w:r>
      <w:r>
        <w:t xml:space="preserve">Marine Park is a sanctuary for whales, including the </w:t>
      </w:r>
      <w:r w:rsidRPr="003545ED">
        <w:t>Southern Right Whale</w:t>
      </w:r>
      <w:r>
        <w:t xml:space="preserve">, that </w:t>
      </w:r>
      <w:r w:rsidRPr="003545ED">
        <w:t xml:space="preserve">return every year to breed, give birth and raise their young. Around </w:t>
      </w:r>
      <w:proofErr w:type="spellStart"/>
      <w:r w:rsidRPr="003545ED">
        <w:t>Nuyts</w:t>
      </w:r>
      <w:proofErr w:type="spellEnd"/>
      <w:r w:rsidRPr="003545ED">
        <w:t xml:space="preserve"> Archipelago the waters are unusually warm for South Australia, supporting tropical marine life such as the Basket Star and the tiny sea star 'Little Patty', which gives birth to live young and is found nowhere else in the world.</w:t>
      </w:r>
    </w:p>
    <w:p w14:paraId="30A41428" w14:textId="77777777" w:rsidR="005A16F9" w:rsidRPr="003545ED" w:rsidRDefault="005A16F9" w:rsidP="005A16F9">
      <w:pPr>
        <w:pStyle w:val="BodyText"/>
      </w:pPr>
      <w:r w:rsidRPr="003545ED">
        <w:lastRenderedPageBreak/>
        <w:t xml:space="preserve">The rocky cliffs rising from the Far West Coast are an iconic coastline image. Whale watching and the colonies of fur seals and sea lions throughout </w:t>
      </w:r>
      <w:proofErr w:type="spellStart"/>
      <w:r w:rsidRPr="003545ED">
        <w:t>Nuyts</w:t>
      </w:r>
      <w:proofErr w:type="spellEnd"/>
      <w:r w:rsidRPr="003545ED">
        <w:t xml:space="preserve"> Archipelago provide major tourism interest.</w:t>
      </w:r>
    </w:p>
    <w:p w14:paraId="2ADB482E" w14:textId="038F8766" w:rsidR="005A16F9" w:rsidRPr="00236BD1" w:rsidRDefault="005A16F9" w:rsidP="00236BD1">
      <w:pPr>
        <w:pStyle w:val="BodyText"/>
      </w:pPr>
      <w:r w:rsidRPr="003545ED">
        <w:t>Fishing is popular on the Far West Coast, with fishers still able to catch Abalone, Rock Lobster, scale fish and shark outside the sanctuary zones. Diving i</w:t>
      </w:r>
      <w:r>
        <w:t>s allowed throughout the park.</w:t>
      </w:r>
    </w:p>
    <w:p w14:paraId="573110E8" w14:textId="77777777" w:rsidR="005A16F9" w:rsidRDefault="005A16F9" w:rsidP="005A16F9">
      <w:pPr>
        <w:pStyle w:val="Heading3"/>
      </w:pPr>
      <w:r>
        <w:rPr>
          <w:color w:val="auto"/>
        </w:rPr>
        <w:t>Heritage</w:t>
      </w:r>
    </w:p>
    <w:p w14:paraId="4F1F2FA9" w14:textId="77777777" w:rsidR="007058BE" w:rsidRDefault="007058BE" w:rsidP="007058BE">
      <w:pPr>
        <w:pStyle w:val="Heading4"/>
      </w:pPr>
      <w:r>
        <w:t>Maritime Heritage</w:t>
      </w:r>
    </w:p>
    <w:p w14:paraId="007FAFCF" w14:textId="194637F3" w:rsidR="00262B1E" w:rsidRDefault="007058BE" w:rsidP="0012369B">
      <w:pPr>
        <w:pStyle w:val="BodyText"/>
        <w:rPr>
          <w:lang w:eastAsia="en-AU"/>
        </w:rPr>
      </w:pPr>
      <w:r w:rsidRPr="007058BE">
        <w:rPr>
          <w:lang w:eastAsia="en-AU"/>
        </w:rPr>
        <w:t xml:space="preserve">Australia protects its underwater cultural heritage through the </w:t>
      </w:r>
      <w:hyperlink r:id="rId36" w:history="1">
        <w:r w:rsidRPr="007058BE">
          <w:rPr>
            <w:rStyle w:val="Hyperlink"/>
            <w:szCs w:val="20"/>
          </w:rPr>
          <w:t>Underwater Cultural Heritage Act 2018</w:t>
        </w:r>
      </w:hyperlink>
      <w:r w:rsidRPr="007058BE">
        <w:rPr>
          <w:lang w:eastAsia="en-AU"/>
        </w:rPr>
        <w:t>. There are about 8,000 historic shipwrecks, sunken aircraft and other underwater cultural heritage sites in Australian waters, representing some of the unique and irreplaceable physical evidence of our past.</w:t>
      </w:r>
      <w:r w:rsidR="00D83359">
        <w:rPr>
          <w:lang w:eastAsia="en-AU"/>
        </w:rPr>
        <w:t xml:space="preserve"> </w:t>
      </w:r>
      <w:r w:rsidR="00262B1E" w:rsidRPr="00262B1E">
        <w:rPr>
          <w:lang w:eastAsia="en-AU"/>
        </w:rPr>
        <w:t xml:space="preserve">The </w:t>
      </w:r>
      <w:hyperlink r:id="rId37" w:history="1">
        <w:r w:rsidR="00262B1E" w:rsidRPr="00262B1E">
          <w:rPr>
            <w:rStyle w:val="Hyperlink"/>
            <w:szCs w:val="20"/>
            <w:lang w:eastAsia="en-AU"/>
          </w:rPr>
          <w:t>Australasian Underwater Cultural Heritage Database</w:t>
        </w:r>
      </w:hyperlink>
      <w:r w:rsidR="00262B1E" w:rsidRPr="00262B1E">
        <w:rPr>
          <w:lang w:eastAsia="en-AU"/>
        </w:rPr>
        <w:t xml:space="preserve"> (AUCHD) contains historical and environmental information about shipwrecks, sunken aircraft and other types of underwater heritage sites located in the Oceania and Southeast Asian regions. This database also includes the records of artefacts t</w:t>
      </w:r>
      <w:r w:rsidR="00262B1E">
        <w:rPr>
          <w:lang w:eastAsia="en-AU"/>
        </w:rPr>
        <w:t xml:space="preserve">hat originate from these sites and </w:t>
      </w:r>
      <w:r w:rsidR="00262B1E" w:rsidRPr="00262B1E">
        <w:rPr>
          <w:lang w:eastAsia="en-AU"/>
        </w:rPr>
        <w:t xml:space="preserve">serves as the register of protected underwater cultural heritage for the </w:t>
      </w:r>
      <w:r w:rsidR="00262B1E" w:rsidRPr="00262B1E">
        <w:rPr>
          <w:i/>
          <w:lang w:eastAsia="en-AU"/>
        </w:rPr>
        <w:t>Underwater Cultural Heritage Act 2018</w:t>
      </w:r>
      <w:r w:rsidR="00262B1E">
        <w:rPr>
          <w:i/>
          <w:lang w:eastAsia="en-AU"/>
        </w:rPr>
        <w:t>.</w:t>
      </w:r>
    </w:p>
    <w:p w14:paraId="10627E02" w14:textId="73288910" w:rsidR="005A16F9" w:rsidRPr="00262B1E" w:rsidRDefault="00262B1E" w:rsidP="0012369B">
      <w:pPr>
        <w:pStyle w:val="BodyText"/>
      </w:pPr>
      <w:r>
        <w:rPr>
          <w:lang w:eastAsia="en-AU"/>
        </w:rPr>
        <w:t>There are no underwater cultural heritage protected z</w:t>
      </w:r>
      <w:r w:rsidRPr="00262B1E">
        <w:rPr>
          <w:lang w:eastAsia="en-AU"/>
        </w:rPr>
        <w:t>ones</w:t>
      </w:r>
      <w:r>
        <w:rPr>
          <w:lang w:eastAsia="en-AU"/>
        </w:rPr>
        <w:t xml:space="preserve"> in the Bight Basin.</w:t>
      </w:r>
    </w:p>
    <w:p w14:paraId="0A15F0F9" w14:textId="77777777" w:rsidR="007058BE" w:rsidRDefault="007058BE" w:rsidP="007058BE">
      <w:pPr>
        <w:pStyle w:val="Heading4"/>
      </w:pPr>
      <w:r>
        <w:t>Cultural Heritage</w:t>
      </w:r>
    </w:p>
    <w:p w14:paraId="2D88D185" w14:textId="01631AAE" w:rsidR="005A16F9" w:rsidRPr="00262B1E" w:rsidRDefault="005A16F9" w:rsidP="0012369B">
      <w:pPr>
        <w:pStyle w:val="BodyText"/>
      </w:pPr>
      <w:r w:rsidRPr="00262B1E">
        <w:rPr>
          <w:lang w:eastAsia="en-AU"/>
        </w:rPr>
        <w:t xml:space="preserve">The Aboriginal Lands Trust owns and manages Yalata lands, including the Head of Bight (HOB) Visitor Interpretive Centre. Yalata Indigenous Protected area </w:t>
      </w:r>
      <w:r w:rsidRPr="00262B1E">
        <w:t xml:space="preserve">management plan states that the area ‘contains spectacular coastal scenery with large dunes, fringing reefs and few obvious signs of human presence. The Head of the Bight public viewing area provides varied coastal scenery with views of the Nullarbor Cliffs, Twin Rocks, coastal dune fields and distant views of the eastern shore of the Bight. During the months of June to October this site also provides the best and most reliable cliff-top whale watching in Australia (Yalata Community </w:t>
      </w:r>
      <w:proofErr w:type="spellStart"/>
      <w:r w:rsidRPr="00262B1E">
        <w:t>Inc</w:t>
      </w:r>
      <w:proofErr w:type="spellEnd"/>
      <w:r w:rsidRPr="00262B1E">
        <w:t>, 2000).</w:t>
      </w:r>
    </w:p>
    <w:p w14:paraId="74DA9708" w14:textId="77777777" w:rsidR="005A16F9" w:rsidRDefault="005A16F9" w:rsidP="005A16F9">
      <w:pPr>
        <w:pStyle w:val="Heading3"/>
        <w:rPr>
          <w:i/>
        </w:rPr>
      </w:pPr>
      <w:r>
        <w:t>Fisheries</w:t>
      </w:r>
    </w:p>
    <w:p w14:paraId="00E10532" w14:textId="77777777" w:rsidR="005A16F9" w:rsidRPr="0012369B" w:rsidRDefault="005A16F9" w:rsidP="005A16F9">
      <w:pPr>
        <w:pStyle w:val="BodyText"/>
        <w:rPr>
          <w:sz w:val="22"/>
        </w:rPr>
      </w:pPr>
      <w:r w:rsidRPr="0088235F">
        <w:t xml:space="preserve">The following fisheries occur in the </w:t>
      </w:r>
      <w:r>
        <w:t>Bight</w:t>
      </w:r>
      <w:r w:rsidRPr="0088235F">
        <w:t xml:space="preserve"> Basin area:</w:t>
      </w:r>
    </w:p>
    <w:p w14:paraId="5391093C" w14:textId="77777777" w:rsidR="005A16F9" w:rsidRPr="0012369B" w:rsidRDefault="00FD633E" w:rsidP="0012369B">
      <w:pPr>
        <w:pStyle w:val="bodybullet"/>
      </w:pPr>
      <w:hyperlink r:id="rId38" w:tooltip="Small Pelagic Commonwealth Fishery" w:history="1">
        <w:r w:rsidR="005A16F9" w:rsidRPr="0012369B">
          <w:rPr>
            <w:rStyle w:val="Hyperlink"/>
          </w:rPr>
          <w:t>Small Pelagic Commonwealth Fishery</w:t>
        </w:r>
      </w:hyperlink>
      <w:r w:rsidR="005A16F9" w:rsidRPr="0012369B">
        <w:t>, western sub-area. The season runs 12 months starting 1 May.</w:t>
      </w:r>
    </w:p>
    <w:p w14:paraId="7E1C13DE" w14:textId="77777777" w:rsidR="005A16F9" w:rsidRPr="0012369B" w:rsidRDefault="00FD633E" w:rsidP="0012369B">
      <w:pPr>
        <w:pStyle w:val="bodybullet"/>
      </w:pPr>
      <w:hyperlink r:id="rId39" w:history="1">
        <w:r w:rsidR="005A16F9" w:rsidRPr="0012369B">
          <w:rPr>
            <w:rStyle w:val="Hyperlink"/>
          </w:rPr>
          <w:t xml:space="preserve">Southern and Eastern </w:t>
        </w:r>
        <w:proofErr w:type="spellStart"/>
        <w:r w:rsidR="005A16F9" w:rsidRPr="0012369B">
          <w:rPr>
            <w:rStyle w:val="Hyperlink"/>
          </w:rPr>
          <w:t>Scalefish</w:t>
        </w:r>
        <w:proofErr w:type="spellEnd"/>
        <w:r w:rsidR="005A16F9" w:rsidRPr="0012369B">
          <w:rPr>
            <w:rStyle w:val="Hyperlink"/>
          </w:rPr>
          <w:t xml:space="preserve"> and Shark Fishery</w:t>
        </w:r>
      </w:hyperlink>
      <w:r w:rsidR="005A16F9" w:rsidRPr="0012369B">
        <w:t xml:space="preserve">, Commonwealth GAB Trawl Sector, Commonwealth </w:t>
      </w:r>
      <w:proofErr w:type="spellStart"/>
      <w:r w:rsidR="005A16F9" w:rsidRPr="0012369B">
        <w:t>Scalefish</w:t>
      </w:r>
      <w:proofErr w:type="spellEnd"/>
      <w:r w:rsidR="005A16F9" w:rsidRPr="0012369B">
        <w:t xml:space="preserve"> Hook Sector and Commonwealth Gillnet and Shark Hook Sector. The season runs 12 months starting 1 May.</w:t>
      </w:r>
    </w:p>
    <w:p w14:paraId="1633257C" w14:textId="77777777" w:rsidR="005A16F9" w:rsidRPr="0012369B" w:rsidRDefault="00FD633E" w:rsidP="0012369B">
      <w:pPr>
        <w:pStyle w:val="bodybullet"/>
      </w:pPr>
      <w:hyperlink r:id="rId40" w:history="1">
        <w:r w:rsidR="005A16F9" w:rsidRPr="0012369B">
          <w:rPr>
            <w:rStyle w:val="Hyperlink"/>
          </w:rPr>
          <w:t>Southern Bluefin Tuna Commonwealth Fishery</w:t>
        </w:r>
      </w:hyperlink>
      <w:r w:rsidR="005A16F9" w:rsidRPr="0012369B">
        <w:t>. The season runs 12 months beginning 1 December.</w:t>
      </w:r>
    </w:p>
    <w:p w14:paraId="4331C703" w14:textId="77777777" w:rsidR="005A16F9" w:rsidRPr="0012369B" w:rsidRDefault="00FD633E" w:rsidP="0012369B">
      <w:pPr>
        <w:pStyle w:val="bodybullet"/>
      </w:pPr>
      <w:hyperlink r:id="rId41" w:history="1">
        <w:r w:rsidR="005A16F9" w:rsidRPr="0012369B">
          <w:rPr>
            <w:rStyle w:val="Hyperlink"/>
          </w:rPr>
          <w:t>Southern Squid Jig Commonwealth Fishery</w:t>
        </w:r>
      </w:hyperlink>
      <w:r w:rsidR="005A16F9" w:rsidRPr="0012369B">
        <w:t>. The season runs 12 months beginning 1 January.</w:t>
      </w:r>
    </w:p>
    <w:p w14:paraId="67AC8412" w14:textId="77777777" w:rsidR="005A16F9" w:rsidRPr="0012369B" w:rsidRDefault="00FD633E" w:rsidP="0012369B">
      <w:pPr>
        <w:pStyle w:val="bodybullet"/>
      </w:pPr>
      <w:hyperlink r:id="rId42" w:history="1">
        <w:r w:rsidR="005A16F9" w:rsidRPr="0012369B">
          <w:rPr>
            <w:rStyle w:val="Hyperlink"/>
          </w:rPr>
          <w:t>Western Tuna and Bill Fishery</w:t>
        </w:r>
      </w:hyperlink>
      <w:r w:rsidR="005A16F9" w:rsidRPr="0012369B">
        <w:t xml:space="preserve">. The season runs </w:t>
      </w:r>
      <w:r w:rsidR="005A16F9" w:rsidRPr="0012369B">
        <w:rPr>
          <w:lang w:val="en-US"/>
        </w:rPr>
        <w:t>12 months, beginning on 1 February.</w:t>
      </w:r>
    </w:p>
    <w:p w14:paraId="60539967" w14:textId="77777777" w:rsidR="005A16F9" w:rsidRPr="0012369B" w:rsidRDefault="005A16F9" w:rsidP="0012369B">
      <w:pPr>
        <w:pStyle w:val="bodybullet"/>
      </w:pPr>
      <w:r w:rsidRPr="0012369B">
        <w:t xml:space="preserve">The following </w:t>
      </w:r>
      <w:hyperlink r:id="rId43" w:tooltip="South Australian commercial fisheries" w:history="1">
        <w:r w:rsidRPr="0012369B">
          <w:rPr>
            <w:rStyle w:val="Hyperlink"/>
          </w:rPr>
          <w:t>South Australian fisheries</w:t>
        </w:r>
      </w:hyperlink>
      <w:r w:rsidRPr="0012369B">
        <w:t xml:space="preserve"> occur in coastal waters; Abalone, Charter boat and Northern zone of the Rock Lobster fishery.</w:t>
      </w:r>
    </w:p>
    <w:p w14:paraId="0230EFB8" w14:textId="77777777" w:rsidR="005A16F9" w:rsidRDefault="005A16F9" w:rsidP="005A16F9">
      <w:pPr>
        <w:pStyle w:val="Heading3"/>
        <w:rPr>
          <w:color w:val="auto"/>
        </w:rPr>
      </w:pPr>
      <w:r>
        <w:rPr>
          <w:color w:val="auto"/>
        </w:rPr>
        <w:t>Climate of the region</w:t>
      </w:r>
    </w:p>
    <w:p w14:paraId="2A691D84" w14:textId="77777777" w:rsidR="005A16F9" w:rsidRDefault="005A16F9" w:rsidP="005A16F9">
      <w:pPr>
        <w:pStyle w:val="BodyText"/>
      </w:pPr>
      <w:r w:rsidRPr="00E25706">
        <w:t>The region is characterised by a semi-arid temperate climate, with precipitation</w:t>
      </w:r>
      <w:r>
        <w:t xml:space="preserve"> below potential evapotranspiration</w:t>
      </w:r>
      <w:r w:rsidRPr="00E25706">
        <w:t xml:space="preserve"> throughout the year and few temperature extremes. </w:t>
      </w:r>
      <w:r w:rsidRPr="00A23AEF">
        <w:t xml:space="preserve">Mean minimum and maximum temperatures are 10.5°C and 23.5°C </w:t>
      </w:r>
      <w:r>
        <w:t xml:space="preserve">respectively, </w:t>
      </w:r>
      <w:r w:rsidRPr="00A23AEF">
        <w:t>for the period 1939–2017</w:t>
      </w:r>
      <w:r>
        <w:t xml:space="preserve">. </w:t>
      </w:r>
      <w:r w:rsidRPr="00A23AEF">
        <w:t xml:space="preserve">Mean annual rainfall recorded over 51 years at </w:t>
      </w:r>
      <w:r>
        <w:t>Ceduna</w:t>
      </w:r>
      <w:r w:rsidRPr="00A23AEF">
        <w:t xml:space="preserve"> is 295.1 mm</w:t>
      </w:r>
      <w:r>
        <w:t xml:space="preserve">. </w:t>
      </w:r>
    </w:p>
    <w:p w14:paraId="1D9E2939" w14:textId="77777777" w:rsidR="005A16F9" w:rsidRDefault="005A16F9" w:rsidP="005A16F9">
      <w:pPr>
        <w:pStyle w:val="Heading3-After"/>
      </w:pPr>
      <w:r>
        <w:t>Oceanic regime</w:t>
      </w:r>
    </w:p>
    <w:p w14:paraId="57A03923" w14:textId="5755DDCA" w:rsidR="005A16F9" w:rsidRDefault="005A16F9" w:rsidP="005A16F9">
      <w:pPr>
        <w:pStyle w:val="BodyText"/>
      </w:pPr>
      <w:r>
        <w:t>Mean open coast sea surface temperatures in the Great Australian Bight (GAB) vary from 14</w:t>
      </w:r>
      <w:r w:rsidRPr="00A23AEF">
        <w:t>°C</w:t>
      </w:r>
      <w:r>
        <w:t xml:space="preserve"> to 18</w:t>
      </w:r>
      <w:r w:rsidRPr="00A23AEF">
        <w:t>°C</w:t>
      </w:r>
      <w:r>
        <w:t xml:space="preserve"> in winter, and these averages decrease to 11–12</w:t>
      </w:r>
      <w:r w:rsidRPr="00935DAF">
        <w:rPr>
          <w:vertAlign w:val="superscript"/>
        </w:rPr>
        <w:t>o</w:t>
      </w:r>
      <w:r>
        <w:t>C under the influence of upwelling (</w:t>
      </w:r>
      <w:proofErr w:type="spellStart"/>
      <w:r>
        <w:t>Edyvane</w:t>
      </w:r>
      <w:proofErr w:type="spellEnd"/>
      <w:r>
        <w:t xml:space="preserve">, 1998). Coastal </w:t>
      </w:r>
      <w:r>
        <w:lastRenderedPageBreak/>
        <w:t xml:space="preserve">tides are typically </w:t>
      </w:r>
      <w:proofErr w:type="spellStart"/>
      <w:r>
        <w:t>microtidal</w:t>
      </w:r>
      <w:proofErr w:type="spellEnd"/>
      <w:r>
        <w:t xml:space="preserve"> and semi-diurnal, with a mean tidal range of 0.8–1.2 m.</w:t>
      </w:r>
      <w:r w:rsidRPr="005228E1">
        <w:t xml:space="preserve"> </w:t>
      </w:r>
      <w:r>
        <w:t>The Bight is open to the vast Southern Ocean, and frequent gales and persistent large swells deform the shelf and coastal waters. South-west swells are less than 2 m for half of the year, 2–4 m for 30-45% of the year, and exceed 4 m for the remaining 10% of the year. Wind generated swells provide additional wave energy, and exceed 2 m for 10</w:t>
      </w:r>
      <w:r w:rsidR="00E94017">
        <w:t>–</w:t>
      </w:r>
      <w:r>
        <w:t>15% of the year (</w:t>
      </w:r>
      <w:proofErr w:type="spellStart"/>
      <w:r w:rsidRPr="003734FE">
        <w:t>Edyvane</w:t>
      </w:r>
      <w:proofErr w:type="spellEnd"/>
      <w:r w:rsidRPr="003734FE">
        <w:t>, 1998).</w:t>
      </w:r>
      <w:r>
        <w:t xml:space="preserve"> Several large </w:t>
      </w:r>
      <w:proofErr w:type="spellStart"/>
      <w:r>
        <w:t>embayments</w:t>
      </w:r>
      <w:proofErr w:type="spellEnd"/>
      <w:r>
        <w:t xml:space="preserve"> and shelves in the lee of obstructing islands receive reduced wave energy.</w:t>
      </w:r>
    </w:p>
    <w:p w14:paraId="38BCCDDB" w14:textId="77777777" w:rsidR="005A16F9" w:rsidRDefault="005A16F9" w:rsidP="005A16F9">
      <w:pPr>
        <w:pStyle w:val="BodyText"/>
      </w:pPr>
      <w:r w:rsidRPr="00561076">
        <w:t>The</w:t>
      </w:r>
      <w:r>
        <w:t xml:space="preserve"> GAB</w:t>
      </w:r>
      <w:r w:rsidRPr="00561076">
        <w:t xml:space="preserve"> </w:t>
      </w:r>
      <w:r>
        <w:t>is a</w:t>
      </w:r>
      <w:r w:rsidRPr="00561076">
        <w:t xml:space="preserve"> </w:t>
      </w:r>
      <w:r>
        <w:t>region</w:t>
      </w:r>
      <w:r w:rsidRPr="00561076">
        <w:t xml:space="preserve"> of complex oceano</w:t>
      </w:r>
      <w:r>
        <w:t>graphy which is largely driven by zonal winds and the behaviour of the 5500 km long NW Leeuwin Current (LC) (</w:t>
      </w:r>
      <w:r w:rsidRPr="003734FE">
        <w:t xml:space="preserve">Ridgeway and </w:t>
      </w:r>
      <w:proofErr w:type="spellStart"/>
      <w:r w:rsidRPr="003734FE">
        <w:t>Condie</w:t>
      </w:r>
      <w:proofErr w:type="spellEnd"/>
      <w:r w:rsidRPr="003734FE">
        <w:t>, 2004</w:t>
      </w:r>
      <w:r>
        <w:t xml:space="preserve">), which originates in waters off </w:t>
      </w:r>
      <w:proofErr w:type="spellStart"/>
      <w:r>
        <w:t>northwestern</w:t>
      </w:r>
      <w:proofErr w:type="spellEnd"/>
      <w:r>
        <w:t xml:space="preserve"> Australia.</w:t>
      </w:r>
      <w:r w:rsidRPr="00561076">
        <w:t xml:space="preserve"> </w:t>
      </w:r>
      <w:r>
        <w:t>The LC feeds the easterly flowing Coastal and Flinders Currents (</w:t>
      </w:r>
      <w:r w:rsidRPr="003734FE">
        <w:t xml:space="preserve">Middleton and </w:t>
      </w:r>
      <w:proofErr w:type="spellStart"/>
      <w:r w:rsidRPr="003734FE">
        <w:t>Cirano</w:t>
      </w:r>
      <w:proofErr w:type="spellEnd"/>
      <w:r w:rsidRPr="003734FE">
        <w:t>, 2002</w:t>
      </w:r>
      <w:r>
        <w:t>), which bring warm and nutrient poor waters across the Bight (</w:t>
      </w:r>
      <w:r w:rsidRPr="00BC3136">
        <w:t>Middleton and Bye, 2007</w:t>
      </w:r>
      <w:r>
        <w:t xml:space="preserve">). Two water masses restrict large-scale upwelling in the GAB: 1) a warm, highly saline water mass called the ‘GAB Plume’, which forms in the western GAB from high evaporation and surface heating and travels eastwards across the GAB; and 2) the warm, nutrient-poor Leeuwin Current </w:t>
      </w:r>
      <w:r w:rsidRPr="00BC3136">
        <w:t>(Richardson et al, 2005</w:t>
      </w:r>
      <w:r>
        <w:t xml:space="preserve">). Intense </w:t>
      </w:r>
      <w:proofErr w:type="spellStart"/>
      <w:r>
        <w:t>downwelling</w:t>
      </w:r>
      <w:proofErr w:type="spellEnd"/>
      <w:r>
        <w:t xml:space="preserve"> typically occurs during winter (</w:t>
      </w:r>
      <w:r w:rsidRPr="00BC3136">
        <w:t>Middleton and Bye, 2007</w:t>
      </w:r>
      <w:r>
        <w:t>) and periodic upwelling occurs in both the eastern and western sections of the GAB, during summer when the LC is weakest (</w:t>
      </w:r>
      <w:r w:rsidRPr="00BC3136">
        <w:t>James et al, 2001</w:t>
      </w:r>
      <w:r>
        <w:t>). Strong ENSO events, which occur at intervals of 4 to 7 years, can depress these currents (Middleton et al, 2007; Middleton and Bye 2007). Recently, the central GAB has been shown to play a more important role in regional productivity than previously thought, as measured by base nitrogen and reworked nitrogen trophic transfer to zooplankton (Kloser and Van Ruth, 2017). Repeated phytoplankton blooms throughout the region challenge the widespread assumption that the GAB shelf waters are oligotrophic and may explain the high abundance of small pelagic fish and apex predators in the region (</w:t>
      </w:r>
      <w:proofErr w:type="spellStart"/>
      <w:r>
        <w:t>K</w:t>
      </w:r>
      <w:r>
        <w:rPr>
          <w:rFonts w:cs="Arial"/>
        </w:rPr>
        <w:t>ä</w:t>
      </w:r>
      <w:r>
        <w:t>mpf</w:t>
      </w:r>
      <w:proofErr w:type="spellEnd"/>
      <w:r>
        <w:t xml:space="preserve"> and </w:t>
      </w:r>
      <w:proofErr w:type="spellStart"/>
      <w:r>
        <w:t>Kavi</w:t>
      </w:r>
      <w:proofErr w:type="spellEnd"/>
      <w:r>
        <w:t xml:space="preserve">, 2017). </w:t>
      </w:r>
    </w:p>
    <w:p w14:paraId="3E3211BE" w14:textId="77777777" w:rsidR="005A16F9" w:rsidRDefault="005A16F9" w:rsidP="005A16F9">
      <w:pPr>
        <w:pStyle w:val="Heading3-After"/>
      </w:pPr>
      <w:r>
        <w:t>Seabed environments: regional overview</w:t>
      </w:r>
    </w:p>
    <w:p w14:paraId="21DF6EEE" w14:textId="5A6C7A69" w:rsidR="005A16F9" w:rsidRDefault="005A16F9" w:rsidP="005A16F9">
      <w:pPr>
        <w:pStyle w:val="BodyText"/>
      </w:pPr>
      <w:r>
        <w:t xml:space="preserve">The Great Australian Bight is the most extensive physiographic feature on the southern margin of the Australian continent. Spanning 1500 km of coastline between Cape </w:t>
      </w:r>
      <w:proofErr w:type="spellStart"/>
      <w:r>
        <w:t>Pasley</w:t>
      </w:r>
      <w:proofErr w:type="spellEnd"/>
      <w:r>
        <w:t xml:space="preserve"> in the west and Cape Catastrophe in the east, the seabed within the Bight comprises a broad continental shelf and continental slope that descends</w:t>
      </w:r>
      <w:r w:rsidR="005F14DB">
        <w:t xml:space="preserve"> to 4500 m water depth (</w:t>
      </w:r>
      <w:r w:rsidR="005F14DB" w:rsidRPr="005F14DB">
        <w:rPr>
          <w:b/>
        </w:rPr>
        <w:t>Figure 2</w:t>
      </w:r>
      <w:r>
        <w:t>; Hughes et al, 2009). The continental shelf is widest within the central GAB, extending approximately 200 km and tapering to about 70 km at each end with the shelf edge at 150 m to 200 m water depth. Rocky reefs are concentrated in the shallower nearshore areas and around islands in the eastern Great Australian Bight. Across the shelf, the seabed is flat to gently sloping on a gradient of less than 0.01</w:t>
      </w:r>
      <w:r w:rsidR="00E94017">
        <w:rPr>
          <w:rFonts w:cs="Arial"/>
        </w:rPr>
        <w:t>°</w:t>
      </w:r>
      <w:r>
        <w:t>. The boundary with the upper slope ranges from a convex slope of 200 m relief in the northwest to a steep escarpment in the southeast that reaches a maximum height of 1000</w:t>
      </w:r>
      <w:r w:rsidR="00E94017">
        <w:t> </w:t>
      </w:r>
      <w:r>
        <w:t>m.</w:t>
      </w:r>
    </w:p>
    <w:p w14:paraId="13AF7030" w14:textId="3C89A96E" w:rsidR="005A16F9" w:rsidRDefault="005A16F9" w:rsidP="005A16F9">
      <w:pPr>
        <w:pStyle w:val="BodyText"/>
      </w:pPr>
      <w:r>
        <w:t>Seaward of the shelf, the continental slope comprises an upper and lower slope, with the upper slope forming the Ceduna Terrace where prospective petroleum areas are located. Water depths across the Ceduna Terrace range from 500 m to 2000 m on a gradient of 0.6</w:t>
      </w:r>
      <w:r w:rsidR="00E94017">
        <w:rPr>
          <w:rFonts w:cs="Arial"/>
        </w:rPr>
        <w:t>°</w:t>
      </w:r>
      <w:r>
        <w:t>, and beyond this the lower slope steepens to almost 4</w:t>
      </w:r>
      <w:r w:rsidR="00E94017">
        <w:rPr>
          <w:rFonts w:cs="Arial"/>
        </w:rPr>
        <w:t>°</w:t>
      </w:r>
      <w:r>
        <w:t xml:space="preserve"> to the foot of the slope. High resolution mapping across the western part of the Ceduna Terrace in 1999 (Hill et al, 2001) shows a dissected seabed characterised by troughs, gullies and erosion scarps that are tens to hundreds of metres in height. These features are evidence for mass wasting of the seabed over geological timescales (Hughes et al, 2009).</w:t>
      </w:r>
    </w:p>
    <w:p w14:paraId="4C6F9F1A" w14:textId="77777777" w:rsidR="005A16F9" w:rsidRDefault="005A16F9" w:rsidP="005A16F9">
      <w:pPr>
        <w:pStyle w:val="BodyText"/>
      </w:pPr>
      <w:r>
        <w:t xml:space="preserve">Seabed sediments on the shelf and upper slope comprise carbonate sands and gravels derived from extensive colonies of bryozoans and sponges that thrive under the influence of seasonal up-welling of nutrient-rich waters onto the shelf (James et al, 2001, 2004). This zone of sediment production has been termed a “sediment factory” and is recognised as integral to the progradation (seaward advance) of the upper slope during the </w:t>
      </w:r>
      <w:proofErr w:type="spellStart"/>
      <w:r>
        <w:t>Cenozoic</w:t>
      </w:r>
      <w:proofErr w:type="spellEnd"/>
      <w:r>
        <w:t xml:space="preserve"> (66 Ma to present; James et al, 2004). In deeper waters of the outer Ceduna Terrace and lower slope, seabed sediments are dominantly muds, comprising calcareous ooze.</w:t>
      </w:r>
    </w:p>
    <w:p w14:paraId="71379517" w14:textId="3658C419" w:rsidR="005A16F9" w:rsidRDefault="005A16F9" w:rsidP="005A16F9">
      <w:pPr>
        <w:pStyle w:val="BodyText"/>
      </w:pPr>
      <w:r>
        <w:t>Submarine canyons have incised deeply into the continental slope within the Great Australian Bight. Of the 74 canyons mapped between the western end of the Bight (123.5</w:t>
      </w:r>
      <w:r w:rsidR="00E94017" w:rsidRPr="00E94017">
        <w:rPr>
          <w:rFonts w:cs="Arial"/>
        </w:rPr>
        <w:t>°</w:t>
      </w:r>
      <w:r>
        <w:t>E) and offshore from the Coorong (139</w:t>
      </w:r>
      <w:r w:rsidR="00E94017" w:rsidRPr="00E94017">
        <w:rPr>
          <w:rFonts w:cs="Arial"/>
        </w:rPr>
        <w:t>°</w:t>
      </w:r>
      <w:r>
        <w:t xml:space="preserve">E), most are located in the southeast of the Bight and in deep water of the continental slope, including 45 canyons that form the Murray Canyon group (Huang et al, 2014). Only two canyons are shelf-incising canyons (Du </w:t>
      </w:r>
      <w:proofErr w:type="spellStart"/>
      <w:r>
        <w:t>Couedic</w:t>
      </w:r>
      <w:proofErr w:type="spellEnd"/>
      <w:r>
        <w:t xml:space="preserve"> Canyon and </w:t>
      </w:r>
      <w:proofErr w:type="spellStart"/>
      <w:r>
        <w:t>Sprigg</w:t>
      </w:r>
      <w:proofErr w:type="spellEnd"/>
      <w:r>
        <w:t xml:space="preserve"> Canyon), reaching to water depths less than 300 m. These shallower canyons are known to provide habitat for rich communities of biota. For example, Du </w:t>
      </w:r>
      <w:proofErr w:type="spellStart"/>
      <w:r>
        <w:t>Couedic</w:t>
      </w:r>
      <w:proofErr w:type="spellEnd"/>
      <w:r>
        <w:t xml:space="preserve"> Canyon supports approximately 140 species of seabed fauna and flora, mostly sponges (Currie and Sorokin, 2014). Canyons also influence local productivity of the Great Australian Bight by acting as pathways for localised upwelling of nutrient-rich waters, e.g. in the vicinity of the shelf-incising canyons south of</w:t>
      </w:r>
      <w:r w:rsidR="00F86FE5">
        <w:t xml:space="preserve"> Kangaroo Island (presumably Du </w:t>
      </w:r>
      <w:proofErr w:type="spellStart"/>
      <w:r>
        <w:t>Couedic</w:t>
      </w:r>
      <w:proofErr w:type="spellEnd"/>
      <w:r>
        <w:t xml:space="preserve"> and </w:t>
      </w:r>
      <w:proofErr w:type="spellStart"/>
      <w:r>
        <w:t>Sprigg</w:t>
      </w:r>
      <w:proofErr w:type="spellEnd"/>
      <w:r>
        <w:t xml:space="preserve"> canyons), where a subsurface pool of cold and nutrient-rich water occurs along the coast in summer (</w:t>
      </w:r>
      <w:proofErr w:type="spellStart"/>
      <w:r>
        <w:t>K</w:t>
      </w:r>
      <w:r>
        <w:rPr>
          <w:rFonts w:cs="Arial"/>
        </w:rPr>
        <w:t>ä</w:t>
      </w:r>
      <w:r>
        <w:t>mpf</w:t>
      </w:r>
      <w:proofErr w:type="spellEnd"/>
      <w:r>
        <w:t>, 2010).</w:t>
      </w:r>
    </w:p>
    <w:p w14:paraId="7C5F7BBA" w14:textId="77777777" w:rsidR="005A16F9" w:rsidRDefault="005A16F9" w:rsidP="005A16F9">
      <w:pPr>
        <w:pStyle w:val="Heading3"/>
      </w:pPr>
      <w:r>
        <w:lastRenderedPageBreak/>
        <w:t>Coast</w:t>
      </w:r>
    </w:p>
    <w:p w14:paraId="761A8FD2" w14:textId="2EED0BBB" w:rsidR="005A16F9" w:rsidRDefault="005A16F9" w:rsidP="005A16F9">
      <w:pPr>
        <w:pStyle w:val="BodyText"/>
      </w:pPr>
      <w:r w:rsidRPr="003215D7">
        <w:t>The coast of the Great Australian Bight is part of the world’s longest s</w:t>
      </w:r>
      <w:r>
        <w:t xml:space="preserve">outh-facing continental margin. </w:t>
      </w:r>
      <w:r w:rsidRPr="003215D7">
        <w:t>It experiences small tidal heights but is exposed to the strong win</w:t>
      </w:r>
      <w:r>
        <w:t xml:space="preserve">d and wave regimes generated in </w:t>
      </w:r>
      <w:r w:rsidRPr="003215D7">
        <w:t>the Southern Ocean, and is therefore referred to as a wave-dominated c</w:t>
      </w:r>
      <w:r>
        <w:t xml:space="preserve">oast. Intense low-pressure </w:t>
      </w:r>
      <w:r w:rsidRPr="003215D7">
        <w:t>systems that traverse the Southern Oc</w:t>
      </w:r>
      <w:r>
        <w:t xml:space="preserve">ean occasionally hit the coast. </w:t>
      </w:r>
      <w:r w:rsidRPr="003215D7">
        <w:t xml:space="preserve">The Great Australian Bight coast is dominated by the </w:t>
      </w:r>
      <w:proofErr w:type="spellStart"/>
      <w:r w:rsidRPr="003215D7">
        <w:t>Cenozoic</w:t>
      </w:r>
      <w:proofErr w:type="spellEnd"/>
      <w:r w:rsidRPr="003215D7">
        <w:t xml:space="preserve"> marine li</w:t>
      </w:r>
      <w:r>
        <w:t xml:space="preserve">mestone cliffs of the Nullarbor </w:t>
      </w:r>
      <w:r w:rsidRPr="003215D7">
        <w:t>Plain, in places forming sheer faces up to 120</w:t>
      </w:r>
      <w:r>
        <w:t> </w:t>
      </w:r>
      <w:r w:rsidRPr="003215D7">
        <w:t>m high. Beaches to the eas</w:t>
      </w:r>
      <w:r>
        <w:t xml:space="preserve">t and west of the </w:t>
      </w:r>
      <w:r w:rsidR="009C6185">
        <w:t>cliff line</w:t>
      </w:r>
      <w:r>
        <w:t xml:space="preserve"> are </w:t>
      </w:r>
      <w:r w:rsidRPr="003215D7">
        <w:t>composed of carbonate or mixed carbonate/quartz sand. Along the lo</w:t>
      </w:r>
      <w:r>
        <w:t xml:space="preserve">w-lying sections of coast there </w:t>
      </w:r>
      <w:r w:rsidRPr="003215D7">
        <w:t xml:space="preserve">are also vast sand flats and large dune fields (e.g. </w:t>
      </w:r>
      <w:proofErr w:type="spellStart"/>
      <w:r w:rsidRPr="003215D7">
        <w:t>Kaniaal</w:t>
      </w:r>
      <w:proofErr w:type="spellEnd"/>
      <w:r w:rsidRPr="003215D7">
        <w:t xml:space="preserve"> and Warr</w:t>
      </w:r>
      <w:r>
        <w:t xml:space="preserve">en beaches, Western Australia), </w:t>
      </w:r>
      <w:r w:rsidRPr="003215D7">
        <w:t>with a few small estuaries on the eastern margin. A defining feature of</w:t>
      </w:r>
      <w:r>
        <w:t xml:space="preserve"> much of this southern coast is </w:t>
      </w:r>
      <w:r w:rsidRPr="003215D7">
        <w:t xml:space="preserve">the negligible discharge of </w:t>
      </w:r>
      <w:proofErr w:type="spellStart"/>
      <w:r w:rsidRPr="003215D7">
        <w:t>terrigenous</w:t>
      </w:r>
      <w:proofErr w:type="spellEnd"/>
      <w:r w:rsidRPr="003215D7">
        <w:t xml:space="preserve"> sediment by rivers compare</w:t>
      </w:r>
      <w:r>
        <w:t xml:space="preserve">d with the volume of </w:t>
      </w:r>
      <w:proofErr w:type="spellStart"/>
      <w:r>
        <w:t>bioclastic</w:t>
      </w:r>
      <w:proofErr w:type="spellEnd"/>
      <w:r>
        <w:t xml:space="preserve"> </w:t>
      </w:r>
      <w:r w:rsidRPr="003215D7">
        <w:t>carbonate sediment produced on the Continental Shelf (&lt;200</w:t>
      </w:r>
      <w:r>
        <w:t> </w:t>
      </w:r>
      <w:r w:rsidRPr="003215D7">
        <w:t>m water depth).</w:t>
      </w:r>
      <w:r>
        <w:t xml:space="preserve"> The Reef Life Survey citizen science program classified the GAB and Tasman Sea with the highest threatened species index relating to rocky and coral reefs throughout Australia (Stuart-Smith et al</w:t>
      </w:r>
      <w:r>
        <w:rPr>
          <w:b/>
        </w:rPr>
        <w:t>,</w:t>
      </w:r>
      <w:r>
        <w:t xml:space="preserve"> 2017)</w:t>
      </w:r>
    </w:p>
    <w:p w14:paraId="740C51DD" w14:textId="77777777" w:rsidR="005A16F9" w:rsidRDefault="005A16F9" w:rsidP="005A16F9">
      <w:pPr>
        <w:pStyle w:val="Heading3"/>
      </w:pPr>
      <w:r>
        <w:t>Ecology</w:t>
      </w:r>
    </w:p>
    <w:p w14:paraId="17AD7EC1" w14:textId="77777777" w:rsidR="005A16F9" w:rsidRDefault="005A16F9" w:rsidP="005A16F9">
      <w:pPr>
        <w:pStyle w:val="Heading4"/>
      </w:pPr>
      <w:r w:rsidRPr="00EC0E42">
        <w:t>Cetaceans</w:t>
      </w:r>
      <w:r>
        <w:t xml:space="preserve"> and other megafauna</w:t>
      </w:r>
    </w:p>
    <w:p w14:paraId="75E46224" w14:textId="77777777" w:rsidR="005A16F9" w:rsidRPr="00696114" w:rsidRDefault="005A16F9" w:rsidP="005A16F9">
      <w:pPr>
        <w:pStyle w:val="BodyText"/>
        <w:rPr>
          <w:rFonts w:cs="Arial"/>
          <w:sz w:val="28"/>
          <w:szCs w:val="28"/>
          <w:lang w:eastAsia="en-AU"/>
        </w:rPr>
      </w:pPr>
      <w:r w:rsidRPr="00EC0E42">
        <w:t>At least 17 species of cetacean have been recorded in the Great Austra</w:t>
      </w:r>
      <w:r>
        <w:t xml:space="preserve">lian Bight, including migratory </w:t>
      </w:r>
      <w:r w:rsidRPr="00EC0E42">
        <w:t xml:space="preserve">species such as </w:t>
      </w:r>
      <w:r>
        <w:t>S</w:t>
      </w:r>
      <w:r w:rsidRPr="00EC0E42">
        <w:t xml:space="preserve">perm, </w:t>
      </w:r>
      <w:r>
        <w:t>B</w:t>
      </w:r>
      <w:r w:rsidRPr="00EC0E42">
        <w:t xml:space="preserve">lue, </w:t>
      </w:r>
      <w:proofErr w:type="spellStart"/>
      <w:r>
        <w:t>M</w:t>
      </w:r>
      <w:r w:rsidRPr="00EC0E42">
        <w:t>inke</w:t>
      </w:r>
      <w:proofErr w:type="spellEnd"/>
      <w:r w:rsidRPr="00EC0E42">
        <w:t xml:space="preserve"> and </w:t>
      </w:r>
      <w:r>
        <w:t>H</w:t>
      </w:r>
      <w:r w:rsidRPr="00EC0E42">
        <w:t>umpback whales and reside</w:t>
      </w:r>
      <w:r>
        <w:t xml:space="preserve">ntial species such as Orcas and </w:t>
      </w:r>
      <w:r w:rsidRPr="00EC0E42">
        <w:t>dolphins (</w:t>
      </w:r>
      <w:proofErr w:type="spellStart"/>
      <w:r w:rsidRPr="00EC0E42">
        <w:t>Edyvane</w:t>
      </w:r>
      <w:proofErr w:type="spellEnd"/>
      <w:r w:rsidRPr="00EC0E42">
        <w:t xml:space="preserve">, 1998). </w:t>
      </w:r>
      <w:r>
        <w:t>Short-beaked Common Dolphins (</w:t>
      </w:r>
      <w:r w:rsidRPr="000C6B4C">
        <w:rPr>
          <w:rFonts w:cs="Arial"/>
          <w:i/>
          <w:lang w:eastAsia="en-AU"/>
        </w:rPr>
        <w:t xml:space="preserve">Delphinus </w:t>
      </w:r>
      <w:proofErr w:type="spellStart"/>
      <w:r w:rsidRPr="000C6B4C">
        <w:rPr>
          <w:rFonts w:cs="Arial"/>
          <w:i/>
          <w:lang w:eastAsia="en-AU"/>
        </w:rPr>
        <w:t>delphis</w:t>
      </w:r>
      <w:proofErr w:type="spellEnd"/>
      <w:r>
        <w:t>) are particularly abundant in coastal waters (Evans et al, 2017), while t</w:t>
      </w:r>
      <w:r w:rsidRPr="00EC0E42">
        <w:t>he most common whale in the Great Austral</w:t>
      </w:r>
      <w:r>
        <w:t>ian Bight is the Southern Right W</w:t>
      </w:r>
      <w:r w:rsidRPr="00EC0E42">
        <w:t>hale (</w:t>
      </w:r>
      <w:proofErr w:type="spellStart"/>
      <w:r w:rsidRPr="007B7C6E">
        <w:rPr>
          <w:i/>
        </w:rPr>
        <w:t>Eubalanea</w:t>
      </w:r>
      <w:proofErr w:type="spellEnd"/>
      <w:r w:rsidRPr="007B7C6E">
        <w:rPr>
          <w:i/>
        </w:rPr>
        <w:t xml:space="preserve"> </w:t>
      </w:r>
      <w:proofErr w:type="spellStart"/>
      <w:r w:rsidRPr="007B7C6E">
        <w:rPr>
          <w:i/>
        </w:rPr>
        <w:t>australis</w:t>
      </w:r>
      <w:proofErr w:type="spellEnd"/>
      <w:r w:rsidRPr="00EC0E42">
        <w:t>) which is listed as ‘endangered’ under</w:t>
      </w:r>
      <w:r>
        <w:t xml:space="preserve"> the </w:t>
      </w:r>
      <w:r w:rsidRPr="00EC0E42">
        <w:rPr>
          <w:i/>
        </w:rPr>
        <w:t>Environment Protection and Biodiversity Conservation Act 1999</w:t>
      </w:r>
      <w:r w:rsidRPr="00EC0E42">
        <w:t>. Due to the migratory nature of t</w:t>
      </w:r>
      <w:r>
        <w:t xml:space="preserve">his species, it is difficult to </w:t>
      </w:r>
      <w:r w:rsidRPr="00EC0E42">
        <w:t>estimate population sizes. There is a transient Australian population o</w:t>
      </w:r>
      <w:r>
        <w:t xml:space="preserve">f around 1500 individuals that </w:t>
      </w:r>
      <w:r w:rsidRPr="00EC0E42">
        <w:t>migrate from their feeding grounds in the Southern Ocean to bree</w:t>
      </w:r>
      <w:r>
        <w:t xml:space="preserve">ding grounds along the southern </w:t>
      </w:r>
      <w:r w:rsidRPr="00EC0E42">
        <w:t>Australian coast, one of only two habitats in the world in which this s</w:t>
      </w:r>
      <w:r>
        <w:t>pecies will reproduce (</w:t>
      </w:r>
      <w:proofErr w:type="spellStart"/>
      <w:r>
        <w:t>Edyvane</w:t>
      </w:r>
      <w:proofErr w:type="spellEnd"/>
      <w:r>
        <w:t xml:space="preserve">, </w:t>
      </w:r>
      <w:r w:rsidRPr="00EC0E42">
        <w:t>1998). Once in coastal waters, most animals aggregate within a nar</w:t>
      </w:r>
      <w:r>
        <w:t xml:space="preserve">row zone 1 km from the coast at </w:t>
      </w:r>
      <w:r w:rsidRPr="00EC0E42">
        <w:t xml:space="preserve">the </w:t>
      </w:r>
      <w:r>
        <w:t>H</w:t>
      </w:r>
      <w:r w:rsidRPr="00EC0E42">
        <w:t>ead of Bight. This globally important calving habitat</w:t>
      </w:r>
      <w:r>
        <w:t xml:space="preserve"> has been recognised as a major </w:t>
      </w:r>
      <w:r w:rsidRPr="00EC0E42">
        <w:t xml:space="preserve">conservation value in the Great Australian Bight Marine </w:t>
      </w:r>
      <w:r>
        <w:t>Park</w:t>
      </w:r>
      <w:r w:rsidRPr="00EC0E42">
        <w:t>.</w:t>
      </w:r>
    </w:p>
    <w:p w14:paraId="5595E97A" w14:textId="77777777" w:rsidR="005A16F9" w:rsidRPr="00950F04" w:rsidRDefault="005A16F9" w:rsidP="005A16F9">
      <w:pPr>
        <w:pStyle w:val="BodyText"/>
      </w:pPr>
      <w:r>
        <w:t>The GAB contains more than 90% of Australia’s Long-nosed Fur S</w:t>
      </w:r>
      <w:r w:rsidRPr="000C6B4C">
        <w:t>eal (</w:t>
      </w:r>
      <w:proofErr w:type="spellStart"/>
      <w:r w:rsidRPr="000C6B4C">
        <w:rPr>
          <w:rFonts w:cs="Arial"/>
          <w:i/>
          <w:lang w:eastAsia="en-AU"/>
        </w:rPr>
        <w:t>Arctocephalus</w:t>
      </w:r>
      <w:proofErr w:type="spellEnd"/>
      <w:r w:rsidRPr="000C6B4C">
        <w:rPr>
          <w:rFonts w:cs="Arial"/>
          <w:i/>
          <w:lang w:eastAsia="en-AU"/>
        </w:rPr>
        <w:t xml:space="preserve"> </w:t>
      </w:r>
      <w:proofErr w:type="spellStart"/>
      <w:r w:rsidRPr="000C6B4C">
        <w:rPr>
          <w:rFonts w:cs="Arial"/>
          <w:i/>
          <w:lang w:eastAsia="en-AU"/>
        </w:rPr>
        <w:t>forsteri</w:t>
      </w:r>
      <w:proofErr w:type="spellEnd"/>
      <w:r w:rsidRPr="000C6B4C">
        <w:t xml:space="preserve">) and Australian </w:t>
      </w:r>
      <w:r>
        <w:t>S</w:t>
      </w:r>
      <w:r w:rsidRPr="000C6B4C">
        <w:t xml:space="preserve">ea </w:t>
      </w:r>
      <w:r>
        <w:t>L</w:t>
      </w:r>
      <w:r w:rsidRPr="000C6B4C">
        <w:t>ion (</w:t>
      </w:r>
      <w:proofErr w:type="spellStart"/>
      <w:r w:rsidRPr="000C6B4C">
        <w:rPr>
          <w:i/>
        </w:rPr>
        <w:t>Neophoca</w:t>
      </w:r>
      <w:proofErr w:type="spellEnd"/>
      <w:r w:rsidRPr="000C6B4C">
        <w:rPr>
          <w:i/>
        </w:rPr>
        <w:t xml:space="preserve"> </w:t>
      </w:r>
      <w:proofErr w:type="spellStart"/>
      <w:r w:rsidRPr="000C6B4C">
        <w:rPr>
          <w:i/>
        </w:rPr>
        <w:t>cinerea</w:t>
      </w:r>
      <w:proofErr w:type="spellEnd"/>
      <w:r w:rsidRPr="000C6B4C">
        <w:t>) populations</w:t>
      </w:r>
      <w:r>
        <w:t xml:space="preserve"> (Evans et al, 2017). In addition, the region is a stable and consistent habitat for juvenile Southern Bluefin Tuna (SBT, </w:t>
      </w:r>
      <w:proofErr w:type="spellStart"/>
      <w:r>
        <w:rPr>
          <w:i/>
        </w:rPr>
        <w:t>Thunnus</w:t>
      </w:r>
      <w:proofErr w:type="spellEnd"/>
      <w:r>
        <w:rPr>
          <w:i/>
        </w:rPr>
        <w:t xml:space="preserve"> </w:t>
      </w:r>
      <w:proofErr w:type="spellStart"/>
      <w:r>
        <w:rPr>
          <w:i/>
        </w:rPr>
        <w:t>maccoyii</w:t>
      </w:r>
      <w:proofErr w:type="spellEnd"/>
      <w:r>
        <w:t xml:space="preserve">) from summer through autumn (Chambers et al, 2017), and broad observations of their movement suggest tagged individuals remain in the region during seismic surveys (Evans et al, 2017). The GAB shelf edge, slope and associated canyons provide important habitat for large megafauna such as juvenile Shortfin </w:t>
      </w:r>
      <w:proofErr w:type="spellStart"/>
      <w:r>
        <w:t>Mako</w:t>
      </w:r>
      <w:proofErr w:type="spellEnd"/>
      <w:r>
        <w:t xml:space="preserve"> (</w:t>
      </w:r>
      <w:proofErr w:type="spellStart"/>
      <w:r>
        <w:rPr>
          <w:i/>
        </w:rPr>
        <w:t>Isurus</w:t>
      </w:r>
      <w:proofErr w:type="spellEnd"/>
      <w:r>
        <w:rPr>
          <w:i/>
        </w:rPr>
        <w:t xml:space="preserve"> </w:t>
      </w:r>
      <w:proofErr w:type="spellStart"/>
      <w:r>
        <w:rPr>
          <w:i/>
        </w:rPr>
        <w:t>oxyrinchus</w:t>
      </w:r>
      <w:proofErr w:type="spellEnd"/>
      <w:r>
        <w:t>) (Rogers et al, 2015), as well as habitat-forming sessile invertebrates (see section below).</w:t>
      </w:r>
    </w:p>
    <w:p w14:paraId="732AC476" w14:textId="77777777" w:rsidR="005A16F9" w:rsidRDefault="005A16F9" w:rsidP="005A16F9">
      <w:pPr>
        <w:pStyle w:val="Heading4"/>
      </w:pPr>
      <w:r>
        <w:t>Demersal Fish</w:t>
      </w:r>
    </w:p>
    <w:p w14:paraId="4ABFC639" w14:textId="77777777" w:rsidR="005A16F9" w:rsidRDefault="005A16F9" w:rsidP="005A16F9">
      <w:pPr>
        <w:pStyle w:val="BodyText"/>
        <w:rPr>
          <w:rFonts w:cs="Arial"/>
          <w:b/>
          <w:bCs/>
          <w:i/>
          <w:iCs/>
        </w:rPr>
      </w:pPr>
      <w:r>
        <w:t>For fish collected in deep waters in the GAB (200–3000 m), most collected species (90%) were previously recorded from Australian waters and were dominated by typical deep-sea families (</w:t>
      </w:r>
      <w:proofErr w:type="spellStart"/>
      <w:r>
        <w:t>Macrouridae</w:t>
      </w:r>
      <w:proofErr w:type="spellEnd"/>
      <w:r>
        <w:t xml:space="preserve">, </w:t>
      </w:r>
      <w:proofErr w:type="spellStart"/>
      <w:r>
        <w:t>Synaphobranchidae</w:t>
      </w:r>
      <w:proofErr w:type="spellEnd"/>
      <w:r>
        <w:t xml:space="preserve">, </w:t>
      </w:r>
      <w:proofErr w:type="spellStart"/>
      <w:r>
        <w:t>Moridae</w:t>
      </w:r>
      <w:proofErr w:type="spellEnd"/>
      <w:r>
        <w:t xml:space="preserve">, </w:t>
      </w:r>
      <w:proofErr w:type="spellStart"/>
      <w:r>
        <w:t>Oreosomatidae</w:t>
      </w:r>
      <w:proofErr w:type="spellEnd"/>
      <w:r>
        <w:t xml:space="preserve">, </w:t>
      </w:r>
      <w:proofErr w:type="spellStart"/>
      <w:r>
        <w:t>Alepocephalidae</w:t>
      </w:r>
      <w:proofErr w:type="spellEnd"/>
      <w:r>
        <w:t xml:space="preserve">, </w:t>
      </w:r>
      <w:proofErr w:type="spellStart"/>
      <w:r>
        <w:t>Ophidiidae</w:t>
      </w:r>
      <w:proofErr w:type="spellEnd"/>
      <w:r>
        <w:t xml:space="preserve">, </w:t>
      </w:r>
      <w:proofErr w:type="spellStart"/>
      <w:r>
        <w:t>Halosauridae</w:t>
      </w:r>
      <w:proofErr w:type="spellEnd"/>
      <w:r>
        <w:t>). Endemic species were more prevalent in shelf break and upper to mid-slope depths, with no longitudinal patterns associated with seasonal upwelling in the east (Williams and Tanner, 2017).</w:t>
      </w:r>
    </w:p>
    <w:p w14:paraId="3A244D27" w14:textId="77777777" w:rsidR="005A16F9" w:rsidRDefault="005A16F9" w:rsidP="005A16F9">
      <w:pPr>
        <w:pStyle w:val="Heading4"/>
      </w:pPr>
      <w:r w:rsidRPr="00EC0E42">
        <w:t>Benthic Invertebrates</w:t>
      </w:r>
    </w:p>
    <w:p w14:paraId="1DB09FD8" w14:textId="77777777" w:rsidR="005A16F9" w:rsidRDefault="005A16F9" w:rsidP="005A16F9">
      <w:pPr>
        <w:pStyle w:val="BodyText"/>
      </w:pPr>
      <w:r w:rsidRPr="00EC0E42">
        <w:t>The Great Australian Bight supports one of the world’s most diverse</w:t>
      </w:r>
      <w:r>
        <w:t xml:space="preserve"> soft-sediment ecosystems (Ward </w:t>
      </w:r>
      <w:r w:rsidRPr="00EC0E42">
        <w:t>et al, 2006) and has a high level of endemism, meaning many sp</w:t>
      </w:r>
      <w:r>
        <w:t xml:space="preserve">ecies occur nowhere else in the </w:t>
      </w:r>
      <w:r w:rsidRPr="00EC0E42">
        <w:t>world. An estimated 85% of fish, 95% of molluscs, and 90% of echi</w:t>
      </w:r>
      <w:r>
        <w:t xml:space="preserve">noderms are endemic to southern </w:t>
      </w:r>
      <w:r w:rsidRPr="00EC0E42">
        <w:t>Australia. Similarly, the Great Australian Bight has one of the worl</w:t>
      </w:r>
      <w:r>
        <w:t xml:space="preserve">d’s highest species richness of </w:t>
      </w:r>
      <w:proofErr w:type="spellStart"/>
      <w:r w:rsidRPr="00EC0E42">
        <w:t>macroalgae</w:t>
      </w:r>
      <w:proofErr w:type="spellEnd"/>
      <w:r w:rsidRPr="00EC0E42">
        <w:t>, with over 1200</w:t>
      </w:r>
      <w:r>
        <w:t> </w:t>
      </w:r>
      <w:r w:rsidRPr="00EC0E42">
        <w:t xml:space="preserve">species (McLeay et al, 2003) and 75% </w:t>
      </w:r>
      <w:r>
        <w:t xml:space="preserve">of red algae species endemic to </w:t>
      </w:r>
      <w:r w:rsidRPr="00EC0E42">
        <w:t>southern Australia (</w:t>
      </w:r>
      <w:proofErr w:type="spellStart"/>
      <w:r w:rsidRPr="00EC0E42">
        <w:t>Womersley</w:t>
      </w:r>
      <w:proofErr w:type="spellEnd"/>
      <w:r w:rsidRPr="00EC0E42">
        <w:t xml:space="preserve">, 1990). In contrast, </w:t>
      </w:r>
      <w:proofErr w:type="spellStart"/>
      <w:r w:rsidRPr="00EC0E42">
        <w:t>infauna</w:t>
      </w:r>
      <w:proofErr w:type="spellEnd"/>
      <w:r w:rsidRPr="00EC0E42">
        <w:t xml:space="preserve"> (anima</w:t>
      </w:r>
      <w:r>
        <w:t xml:space="preserve">ls beneath the seafloor) do not </w:t>
      </w:r>
      <w:r w:rsidRPr="00EC0E42">
        <w:t>appear to be particularly diverse in t</w:t>
      </w:r>
      <w:r>
        <w:t xml:space="preserve">he Bight (Currie et al, 2009). </w:t>
      </w:r>
    </w:p>
    <w:p w14:paraId="1BF0F0AC" w14:textId="63751E5E" w:rsidR="005A16F9" w:rsidRDefault="005A16F9" w:rsidP="005A16F9">
      <w:pPr>
        <w:pStyle w:val="BodyText"/>
      </w:pPr>
      <w:r>
        <w:t>H</w:t>
      </w:r>
      <w:r w:rsidRPr="00EC0E42">
        <w:t>igh levels of species richness and endemism in the Great Au</w:t>
      </w:r>
      <w:r>
        <w:t xml:space="preserve">stralian Bight may be explained </w:t>
      </w:r>
      <w:r w:rsidRPr="00EC0E42">
        <w:t>several ways. The Leeuwin Current allows for incursions of tropical species to the region, and over</w:t>
      </w:r>
      <w:r>
        <w:t xml:space="preserve"> </w:t>
      </w:r>
      <w:r w:rsidRPr="00EC0E42">
        <w:t xml:space="preserve">time, some of these may </w:t>
      </w:r>
      <w:r w:rsidRPr="00EC0E42">
        <w:lastRenderedPageBreak/>
        <w:t>have established isolated populations and</w:t>
      </w:r>
      <w:r>
        <w:t xml:space="preserve"> evolved independently of their </w:t>
      </w:r>
      <w:r w:rsidRPr="00EC0E42">
        <w:t>tropical source populations</w:t>
      </w:r>
      <w:r>
        <w:t xml:space="preserve"> (Hughes et al, 2009)</w:t>
      </w:r>
      <w:r w:rsidRPr="00EC0E42">
        <w:t>. In addition, the continental shelf is qui</w:t>
      </w:r>
      <w:r>
        <w:t xml:space="preserve">te wide in the Great Australian </w:t>
      </w:r>
      <w:r w:rsidRPr="00EC0E42">
        <w:t>Bight, providing a relatively large area in which many shallow wat</w:t>
      </w:r>
      <w:r>
        <w:t xml:space="preserve">er species can exist. Submarine </w:t>
      </w:r>
      <w:r w:rsidRPr="00EC0E42">
        <w:t>canyons are also more likely to contain endemic fauna than nearby a</w:t>
      </w:r>
      <w:r>
        <w:t xml:space="preserve">reas without canyons at similar </w:t>
      </w:r>
      <w:r w:rsidRPr="00EC0E42">
        <w:t xml:space="preserve">depths (Vetter and Dayton, 1998; 1999), due to geographic barriers </w:t>
      </w:r>
      <w:r>
        <w:t xml:space="preserve">to recruitment and evolutionary </w:t>
      </w:r>
      <w:r w:rsidRPr="00EC0E42">
        <w:t>isolation. Finally, the relative isolation of the Great Australian Bight due t</w:t>
      </w:r>
      <w:r>
        <w:t xml:space="preserve">o geographic barriers allows </w:t>
      </w:r>
      <w:r w:rsidRPr="00EC0E42">
        <w:t>species to evolve in a defined region, with minimal migration to and from other parts of Australia.</w:t>
      </w:r>
    </w:p>
    <w:p w14:paraId="054DA9BD" w14:textId="77777777" w:rsidR="005A16F9" w:rsidRPr="00EC0E42" w:rsidRDefault="005A16F9" w:rsidP="005A16F9">
      <w:pPr>
        <w:pStyle w:val="BodyText"/>
      </w:pPr>
      <w:r>
        <w:t>Until recently, most</w:t>
      </w:r>
      <w:r w:rsidRPr="00EC0E42">
        <w:t xml:space="preserve"> information about biodiversity in the Great Australian Bigh</w:t>
      </w:r>
      <w:r>
        <w:t xml:space="preserve">t was for the continental shelf. In a survey of </w:t>
      </w:r>
      <w:r w:rsidRPr="00EC0E42">
        <w:t>sponges in the former Benthic Protection Zone, only 25% of taxa were a</w:t>
      </w:r>
      <w:r>
        <w:t xml:space="preserve">ble to be identified to species </w:t>
      </w:r>
      <w:r w:rsidRPr="00EC0E42">
        <w:t>level, and of these, 48% were new records for the Great Australian Bight (So</w:t>
      </w:r>
      <w:r>
        <w:t xml:space="preserve">rokin </w:t>
      </w:r>
      <w:proofErr w:type="gramStart"/>
      <w:r>
        <w:t>et</w:t>
      </w:r>
      <w:proofErr w:type="gramEnd"/>
      <w:r>
        <w:t xml:space="preserve"> a., 2007). Other </w:t>
      </w:r>
      <w:r w:rsidRPr="00EC0E42">
        <w:t>patterns from the Great Australian Bight shelf waters include:</w:t>
      </w:r>
    </w:p>
    <w:p w14:paraId="0F75746E" w14:textId="77777777" w:rsidR="005A16F9" w:rsidRPr="00866A9C" w:rsidRDefault="005A16F9" w:rsidP="005A16F9">
      <w:pPr>
        <w:pStyle w:val="BodyText"/>
        <w:numPr>
          <w:ilvl w:val="0"/>
          <w:numId w:val="17"/>
        </w:numPr>
      </w:pPr>
      <w:r w:rsidRPr="00935DAF">
        <w:t xml:space="preserve">Suspension feeders were the most common feeding group collected on the continental shelf of the Great Australian Bight Marine Park Benthic Protection Zone (GABMP BPZ), representing 86% of species found. This is unusually high and may reflect </w:t>
      </w:r>
      <w:r>
        <w:t xml:space="preserve">a </w:t>
      </w:r>
      <w:r w:rsidRPr="00935DAF">
        <w:t xml:space="preserve">lack of </w:t>
      </w:r>
      <w:proofErr w:type="spellStart"/>
      <w:r w:rsidRPr="00935DAF">
        <w:t>terrigenous</w:t>
      </w:r>
      <w:proofErr w:type="spellEnd"/>
      <w:r w:rsidRPr="00935DAF">
        <w:t xml:space="preserve"> sediment input, which limits the food available to deposit feeders (Ward et al, 2006).</w:t>
      </w:r>
      <w:r>
        <w:t xml:space="preserve"> </w:t>
      </w:r>
      <w:r w:rsidRPr="00935DAF">
        <w:t xml:space="preserve">The outer shelf and upper slope are often dominated by abundant bryozoan and sponge communities, which occur more frequently on hard seabed substrates. Hardgrounds composed of </w:t>
      </w:r>
      <w:r>
        <w:t>Paleogene, Neogene</w:t>
      </w:r>
      <w:r w:rsidRPr="00935DAF">
        <w:t xml:space="preserve"> (66–2.</w:t>
      </w:r>
      <w:r>
        <w:t>6 </w:t>
      </w:r>
      <w:r w:rsidRPr="00935DAF">
        <w:t>Ma) and Pleistocene (2.</w:t>
      </w:r>
      <w:r>
        <w:t>6 </w:t>
      </w:r>
      <w:r w:rsidRPr="00935DAF">
        <w:t>Ma–11.7</w:t>
      </w:r>
      <w:r>
        <w:t> </w:t>
      </w:r>
      <w:proofErr w:type="spellStart"/>
      <w:r w:rsidRPr="00935DAF">
        <w:t>ka</w:t>
      </w:r>
      <w:proofErr w:type="spellEnd"/>
      <w:r w:rsidRPr="00935DAF">
        <w:t xml:space="preserve">) limestone outcrops on the seabed contain the most abundant fauna, including bryozoans, sponges and other sessile invertebrates. Rippled sandy bottoms have almost no </w:t>
      </w:r>
      <w:proofErr w:type="spellStart"/>
      <w:r w:rsidRPr="00935DAF">
        <w:t>epibenthos</w:t>
      </w:r>
      <w:proofErr w:type="spellEnd"/>
      <w:r w:rsidRPr="00935DAF">
        <w:t xml:space="preserve"> (Richardson et al, 2005). </w:t>
      </w:r>
    </w:p>
    <w:p w14:paraId="28005F5A" w14:textId="77777777" w:rsidR="005A16F9" w:rsidRDefault="005A16F9" w:rsidP="005A16F9">
      <w:pPr>
        <w:pStyle w:val="BodyText"/>
        <w:numPr>
          <w:ilvl w:val="0"/>
          <w:numId w:val="17"/>
        </w:numPr>
      </w:pPr>
      <w:r w:rsidRPr="00935DAF">
        <w:t>On the continental shelf, species richness and biomass decline with increasing water depth and the proportion of mud in the seabed sediments, except for crabs and shrimp which increase with mud content (Ward et al, 2006).</w:t>
      </w:r>
      <w:r>
        <w:t xml:space="preserve"> </w:t>
      </w:r>
      <w:r w:rsidRPr="00935DAF">
        <w:t>Smaller sessile species may be more prevalent in deeper waters with higher proportions of mud, as they may be able to better use fine sediments (Sorokin et al, 2007).</w:t>
      </w:r>
    </w:p>
    <w:p w14:paraId="3156CCCC" w14:textId="77777777" w:rsidR="005A16F9" w:rsidRDefault="005A16F9" w:rsidP="005A16F9">
      <w:pPr>
        <w:pStyle w:val="BodyText"/>
      </w:pPr>
      <w:r>
        <w:t xml:space="preserve">Recently, CSIRO and South Australian Research and Development Institute (SARDI) undertook benthic biodiversity assessments of </w:t>
      </w:r>
      <w:proofErr w:type="spellStart"/>
      <w:r>
        <w:t>epifauna</w:t>
      </w:r>
      <w:proofErr w:type="spellEnd"/>
      <w:r>
        <w:t xml:space="preserve">, </w:t>
      </w:r>
      <w:proofErr w:type="spellStart"/>
      <w:r>
        <w:t>infauna</w:t>
      </w:r>
      <w:proofErr w:type="spellEnd"/>
      <w:r>
        <w:t xml:space="preserve">, </w:t>
      </w:r>
      <w:proofErr w:type="spellStart"/>
      <w:r>
        <w:t>meiofauna</w:t>
      </w:r>
      <w:proofErr w:type="spellEnd"/>
      <w:r>
        <w:t xml:space="preserve"> and microbes in the deeper waters of the GAB (200–3000 m depth) (Williams and Tanner, 2017). For </w:t>
      </w:r>
      <w:proofErr w:type="spellStart"/>
      <w:r>
        <w:t>epifauna</w:t>
      </w:r>
      <w:proofErr w:type="spellEnd"/>
      <w:r>
        <w:t xml:space="preserve">, ~25% of species were undescribed, with an additional 13% being new records for Australian waters, although faunal composition was typical for temperate deep-sea regions. Endemism among </w:t>
      </w:r>
      <w:proofErr w:type="spellStart"/>
      <w:r>
        <w:t>epifauna</w:t>
      </w:r>
      <w:proofErr w:type="spellEnd"/>
      <w:r>
        <w:t xml:space="preserve"> was low, although there was a clear eastwards biogeographic affinity</w:t>
      </w:r>
      <w:r w:rsidRPr="007E3680">
        <w:t xml:space="preserve">. For </w:t>
      </w:r>
      <w:proofErr w:type="spellStart"/>
      <w:r w:rsidRPr="007E3680">
        <w:t>infauna</w:t>
      </w:r>
      <w:proofErr w:type="spellEnd"/>
      <w:r w:rsidRPr="007E3680">
        <w:t xml:space="preserve">, assemblages were different at </w:t>
      </w:r>
      <w:r>
        <w:t>various depths, as shown for decapod diversity which decreased by 75% in the transition from the mid-lower continental slope (1000-3500 m) to abyssal depths (&gt;3500 m) (</w:t>
      </w:r>
      <w:proofErr w:type="spellStart"/>
      <w:r>
        <w:t>Farrelly</w:t>
      </w:r>
      <w:proofErr w:type="spellEnd"/>
      <w:r>
        <w:t xml:space="preserve"> and </w:t>
      </w:r>
      <w:proofErr w:type="spellStart"/>
      <w:r>
        <w:t>Ahyong</w:t>
      </w:r>
      <w:proofErr w:type="spellEnd"/>
      <w:r>
        <w:t>, 2019)</w:t>
      </w:r>
    </w:p>
    <w:p w14:paraId="69FB846D" w14:textId="77777777" w:rsidR="005A16F9" w:rsidRDefault="005A16F9" w:rsidP="005A16F9">
      <w:pPr>
        <w:pStyle w:val="Heading3"/>
      </w:pPr>
      <w:r>
        <w:t>Recent geological history</w:t>
      </w:r>
    </w:p>
    <w:p w14:paraId="71142D06" w14:textId="77777777" w:rsidR="005A16F9" w:rsidRDefault="005A16F9" w:rsidP="005A16F9">
      <w:pPr>
        <w:pStyle w:val="BodyText"/>
      </w:pPr>
      <w:r>
        <w:t xml:space="preserve">The majority of the GAB shelf remained submerged during most of the Late Quaternary (Richardson et al, 2005). Even during periods of very low sea level, such as the last glacial when sea level was at least 120 m below present (Chappell and Shackleton, 1986), the outer shelf was submerged (James and von der </w:t>
      </w:r>
      <w:proofErr w:type="spellStart"/>
      <w:r>
        <w:t>Borch</w:t>
      </w:r>
      <w:proofErr w:type="spellEnd"/>
      <w:r>
        <w:t xml:space="preserve">, 1991). Relict </w:t>
      </w:r>
      <w:proofErr w:type="gramStart"/>
      <w:r>
        <w:t>foraminifera</w:t>
      </w:r>
      <w:proofErr w:type="gramEnd"/>
      <w:r>
        <w:t xml:space="preserve"> specimens indicate that the inner GAB was an area of shallow marine lagoons and bays, while the outer shelf remained a shallow shelf sea, especially in the period between the last interglacial and last glacial (~90 </w:t>
      </w:r>
      <w:proofErr w:type="spellStart"/>
      <w:r>
        <w:t>ka</w:t>
      </w:r>
      <w:proofErr w:type="spellEnd"/>
      <w:r>
        <w:t xml:space="preserve"> to 20 </w:t>
      </w:r>
      <w:proofErr w:type="spellStart"/>
      <w:r>
        <w:t>ka</w:t>
      </w:r>
      <w:proofErr w:type="spellEnd"/>
      <w:r>
        <w:t>) when sea level ranged between 20 m and 120 m lower than today (Li et al, 1999).</w:t>
      </w:r>
    </w:p>
    <w:p w14:paraId="2E1040CF" w14:textId="77777777" w:rsidR="005A16F9" w:rsidRDefault="005A16F9" w:rsidP="005A16F9">
      <w:pPr>
        <w:pStyle w:val="BodyText"/>
      </w:pPr>
      <w:r>
        <w:t>The shelf has been a site of cool-water carbonate production throughout the last 2 Ma. Very high rates of sediment deposition on the outer shelf during the Pleistocene (2.6 Ma to 10 </w:t>
      </w:r>
      <w:proofErr w:type="spellStart"/>
      <w:r>
        <w:t>ka</w:t>
      </w:r>
      <w:proofErr w:type="spellEnd"/>
      <w:r>
        <w:t>) have resulted in progradation of the shelf. Pleistocene sediments are more than 550 m thick and were deposited at rates equal to the fastest growing tropical carbonate systems known. Lobe-shaped, prograding sediment structures (</w:t>
      </w:r>
      <w:proofErr w:type="spellStart"/>
      <w:r>
        <w:t>clinoforms</w:t>
      </w:r>
      <w:proofErr w:type="spellEnd"/>
      <w:r>
        <w:t xml:space="preserve">) can be seen in seismic profiles of the shelf (James, 1997, 2004). Also seen in seismic profiles are bryozoan reef mounds which have been interpreted as cool water reefs that grew on the outer shelf during the Pleistocene. Similar structures are common in the geologic record but not in the recent past. They are the first examples to be found in the Quaternary, and are also the first to be found in their original depositional setting (Hine et al, 1999; James et al, 2000). Bryozoan mound growth is attributed to a weakening of the LC during glacial periods, allowing for increased upwelling and higher productivity in the region. Nutrient levels would have been similar to those in Antarctic waters today, and prolific carbonate production was high enough to form these carbonate mounds (Bone and James, 2002). They are presently found in water depths of ~200–350 m, have up to 65 m vertical relief and extend laterally for hundreds of metres. None are growing today; they were </w:t>
      </w:r>
      <w:r>
        <w:lastRenderedPageBreak/>
        <w:t xml:space="preserve">drowned when sea level rose rapidly after the last glacial maximum and are now buried under a thin layer of Holocene sediments (James et al, 2000, 2001). </w:t>
      </w:r>
    </w:p>
    <w:p w14:paraId="409301F7" w14:textId="77777777" w:rsidR="005A16F9" w:rsidRDefault="005A16F9" w:rsidP="005A16F9">
      <w:pPr>
        <w:pStyle w:val="BodyText"/>
      </w:pPr>
      <w:r>
        <w:t xml:space="preserve">Overall, oceanographic conditions throughout the Holocene have been similar to those of today, with year-round </w:t>
      </w:r>
      <w:proofErr w:type="spellStart"/>
      <w:r>
        <w:t>downwelling</w:t>
      </w:r>
      <w:proofErr w:type="spellEnd"/>
      <w:r>
        <w:t xml:space="preserve"> in a high-energy environment, and prolific carbonate production occurring on the outer shelf. It is thought these patterns also persisted throughout most of the Quaternary (James et al, 2001).</w:t>
      </w:r>
    </w:p>
    <w:p w14:paraId="62BF467B" w14:textId="77777777" w:rsidR="005A16F9" w:rsidRDefault="005A16F9" w:rsidP="005A16F9">
      <w:pPr>
        <w:pStyle w:val="Heading3"/>
      </w:pPr>
      <w:r>
        <w:t>National seabed mapping data and information</w:t>
      </w:r>
    </w:p>
    <w:p w14:paraId="5EFFD026" w14:textId="77777777" w:rsidR="005A16F9" w:rsidRDefault="005A16F9" w:rsidP="0012369B">
      <w:pPr>
        <w:pStyle w:val="BodyText"/>
      </w:pPr>
      <w:r>
        <w:t xml:space="preserve">Geoscience Australia provides acoustic datasets including bathymetry, backscatter, </w:t>
      </w:r>
      <w:proofErr w:type="spellStart"/>
      <w:r>
        <w:t>sidescan</w:t>
      </w:r>
      <w:proofErr w:type="spellEnd"/>
      <w:r>
        <w:t xml:space="preserve"> sonar and sub-bottom profiles to assist in understanding the shape and composition of the sea floor. Geoscience Australia also maintains the Marine Sediment database (</w:t>
      </w:r>
      <w:hyperlink r:id="rId44" w:anchor="/metadata/122355" w:tooltip="Direct link to MARS database" w:history="1">
        <w:r>
          <w:rPr>
            <w:rStyle w:val="Hyperlink"/>
          </w:rPr>
          <w:t>MARS</w:t>
        </w:r>
      </w:hyperlink>
      <w:r>
        <w:t xml:space="preserve">), comprising information (e.g. percentage mud/sand/gravel, mean grain size, and sediment texture) from seabed sediment samples collected during marine surveys between 1905 and 2017. </w:t>
      </w:r>
    </w:p>
    <w:p w14:paraId="16E11820" w14:textId="77777777" w:rsidR="005A16F9" w:rsidRPr="001C76E2" w:rsidRDefault="005A16F9" w:rsidP="0012369B">
      <w:pPr>
        <w:pStyle w:val="BodyText"/>
      </w:pPr>
      <w:r>
        <w:t xml:space="preserve">These data are discoverable and accessible through the </w:t>
      </w:r>
      <w:proofErr w:type="spellStart"/>
      <w:r>
        <w:t>AusSeabed</w:t>
      </w:r>
      <w:proofErr w:type="spellEnd"/>
      <w:r>
        <w:t xml:space="preserve"> </w:t>
      </w:r>
      <w:hyperlink r:id="rId45" w:anchor="/" w:tooltip="Bathymetry and other seabed information" w:history="1">
        <w:r>
          <w:rPr>
            <w:rStyle w:val="Hyperlink"/>
          </w:rPr>
          <w:t>Marine Data Discovery Portal</w:t>
        </w:r>
      </w:hyperlink>
      <w:r>
        <w:rPr>
          <w:rStyle w:val="Hyperlink"/>
        </w:rPr>
        <w:t>.</w:t>
      </w:r>
      <w:r>
        <w:t xml:space="preserve"> </w:t>
      </w:r>
      <w:hyperlink r:id="rId46" w:tooltip="Link to AusSeabed website" w:history="1">
        <w:proofErr w:type="spellStart"/>
        <w:r>
          <w:rPr>
            <w:rStyle w:val="Hyperlink"/>
          </w:rPr>
          <w:t>AusSeabed</w:t>
        </w:r>
        <w:proofErr w:type="spellEnd"/>
      </w:hyperlink>
      <w:r w:rsidRPr="00E25E32">
        <w:t xml:space="preserve"> is an innovative national seabed mapping initiative designed to coordinate data collection efforts in Australian waters and provide open access to quality-controlled seabed data.</w:t>
      </w:r>
      <w:r w:rsidRPr="00897163">
        <w:rPr>
          <w:rStyle w:val="Hyperlink"/>
          <w:color w:val="auto"/>
        </w:rPr>
        <w:t xml:space="preserve"> </w:t>
      </w:r>
    </w:p>
    <w:p w14:paraId="546740B1" w14:textId="77777777" w:rsidR="005A16F9" w:rsidRPr="00BE0ECC" w:rsidRDefault="005A16F9" w:rsidP="005A16F9">
      <w:pPr>
        <w:pStyle w:val="Heading3"/>
      </w:pPr>
      <w:r w:rsidRPr="00BE0ECC">
        <w:t>Other online information resources</w:t>
      </w:r>
    </w:p>
    <w:p w14:paraId="1829A191" w14:textId="77777777" w:rsidR="005A16F9" w:rsidRPr="0080093F" w:rsidRDefault="005A16F9" w:rsidP="0012369B">
      <w:pPr>
        <w:pStyle w:val="BodyText"/>
      </w:pPr>
      <w:r>
        <w:t xml:space="preserve">Please follow these links for more detailed information pertaining to the marine and environmental summaries provided in this section. </w:t>
      </w:r>
    </w:p>
    <w:p w14:paraId="1027F44C" w14:textId="77777777" w:rsidR="005A16F9" w:rsidRPr="00387983" w:rsidRDefault="00FD633E" w:rsidP="0012369B">
      <w:pPr>
        <w:pStyle w:val="bodybullet"/>
        <w:rPr>
          <w:szCs w:val="20"/>
        </w:rPr>
      </w:pPr>
      <w:hyperlink r:id="rId47" w:tooltip="Climate Data Online" w:history="1">
        <w:r w:rsidR="005A16F9" w:rsidRPr="00387983">
          <w:rPr>
            <w:rStyle w:val="Hyperlink"/>
            <w:szCs w:val="20"/>
          </w:rPr>
          <w:t>Bureau of Meteorology: climate statistics</w:t>
        </w:r>
      </w:hyperlink>
      <w:r w:rsidR="005A16F9" w:rsidRPr="00387983">
        <w:rPr>
          <w:szCs w:val="20"/>
        </w:rPr>
        <w:t xml:space="preserve"> </w:t>
      </w:r>
    </w:p>
    <w:p w14:paraId="67D3B90F" w14:textId="0B557865" w:rsidR="005A16F9" w:rsidRPr="00387983" w:rsidRDefault="00FD633E" w:rsidP="0012369B">
      <w:pPr>
        <w:pStyle w:val="bodybullet"/>
        <w:rPr>
          <w:szCs w:val="20"/>
        </w:rPr>
      </w:pPr>
      <w:hyperlink r:id="rId48" w:tooltip="Interactive Map" w:history="1">
        <w:r w:rsidR="005A16F9" w:rsidRPr="00387983">
          <w:rPr>
            <w:rStyle w:val="Hyperlink"/>
            <w:szCs w:val="20"/>
          </w:rPr>
          <w:t xml:space="preserve">National Conservation Values Atlas </w:t>
        </w:r>
      </w:hyperlink>
    </w:p>
    <w:p w14:paraId="406F7028" w14:textId="77777777" w:rsidR="005A16F9" w:rsidRPr="00387983" w:rsidRDefault="005A16F9" w:rsidP="0012369B">
      <w:pPr>
        <w:pStyle w:val="bodybullet"/>
        <w:rPr>
          <w:szCs w:val="20"/>
        </w:rPr>
      </w:pPr>
      <w:r w:rsidRPr="00387983">
        <w:rPr>
          <w:szCs w:val="20"/>
        </w:rPr>
        <w:t xml:space="preserve">Australian Marine Parks: </w:t>
      </w:r>
      <w:hyperlink r:id="rId49" w:tooltip="South-west Marine Parks Network" w:history="1">
        <w:r w:rsidRPr="00387983">
          <w:rPr>
            <w:rStyle w:val="Hyperlink"/>
            <w:szCs w:val="20"/>
          </w:rPr>
          <w:t>South-west Marine Parks Network</w:t>
        </w:r>
      </w:hyperlink>
      <w:r w:rsidRPr="00387983">
        <w:rPr>
          <w:szCs w:val="20"/>
        </w:rPr>
        <w:t xml:space="preserve"> </w:t>
      </w:r>
    </w:p>
    <w:p w14:paraId="0E2E841A" w14:textId="77777777" w:rsidR="005A16F9" w:rsidRPr="00387983" w:rsidRDefault="00FD633E" w:rsidP="0012369B">
      <w:pPr>
        <w:pStyle w:val="bodybullet"/>
        <w:rPr>
          <w:szCs w:val="20"/>
        </w:rPr>
      </w:pPr>
      <w:hyperlink r:id="rId50" w:tooltip="South Australian marine parks" w:history="1">
        <w:r w:rsidR="005A16F9" w:rsidRPr="00387983">
          <w:rPr>
            <w:rStyle w:val="Hyperlink"/>
            <w:szCs w:val="20"/>
          </w:rPr>
          <w:t>South Australian marine parks</w:t>
        </w:r>
      </w:hyperlink>
    </w:p>
    <w:p w14:paraId="298E9D8F" w14:textId="227DAABC" w:rsidR="005A16F9" w:rsidRPr="00387983" w:rsidRDefault="00FD633E" w:rsidP="0012369B">
      <w:pPr>
        <w:pStyle w:val="bodybullet"/>
        <w:rPr>
          <w:szCs w:val="20"/>
        </w:rPr>
      </w:pPr>
      <w:hyperlink r:id="rId51" w:tooltip="Link to national seabed mapping website" w:history="1">
        <w:proofErr w:type="spellStart"/>
        <w:r w:rsidR="005A16F9" w:rsidRPr="00387983">
          <w:rPr>
            <w:rStyle w:val="Hyperlink"/>
            <w:szCs w:val="20"/>
          </w:rPr>
          <w:t>AusSeabed</w:t>
        </w:r>
        <w:proofErr w:type="spellEnd"/>
      </w:hyperlink>
    </w:p>
    <w:p w14:paraId="5F3F2EB2" w14:textId="77777777" w:rsidR="005A16F9" w:rsidRPr="00387983" w:rsidRDefault="00FD633E" w:rsidP="0012369B">
      <w:pPr>
        <w:pStyle w:val="bodybullet"/>
        <w:rPr>
          <w:szCs w:val="20"/>
        </w:rPr>
      </w:pPr>
      <w:hyperlink r:id="rId52" w:tooltip="Australian Fisheries Management Authority" w:history="1">
        <w:r w:rsidR="005A16F9" w:rsidRPr="00387983">
          <w:rPr>
            <w:rStyle w:val="Hyperlink"/>
            <w:szCs w:val="20"/>
          </w:rPr>
          <w:t>Commonwealth Fisheries</w:t>
        </w:r>
      </w:hyperlink>
      <w:r w:rsidR="005A16F9" w:rsidRPr="00387983">
        <w:rPr>
          <w:szCs w:val="20"/>
        </w:rPr>
        <w:t xml:space="preserve"> </w:t>
      </w:r>
    </w:p>
    <w:p w14:paraId="15EF41E7" w14:textId="77777777" w:rsidR="005A16F9" w:rsidRPr="00387983" w:rsidRDefault="00FD633E" w:rsidP="0012369B">
      <w:pPr>
        <w:pStyle w:val="bodybullet"/>
        <w:rPr>
          <w:szCs w:val="20"/>
        </w:rPr>
      </w:pPr>
      <w:hyperlink r:id="rId53" w:tooltip="Australian Fisheries Management Authority" w:history="1">
        <w:r w:rsidR="005A16F9" w:rsidRPr="00387983">
          <w:rPr>
            <w:rStyle w:val="Hyperlink"/>
            <w:szCs w:val="20"/>
          </w:rPr>
          <w:t>AFMA Commonwealth Fisheries</w:t>
        </w:r>
      </w:hyperlink>
      <w:r w:rsidR="005A16F9" w:rsidRPr="00387983">
        <w:rPr>
          <w:szCs w:val="20"/>
        </w:rPr>
        <w:t xml:space="preserve"> </w:t>
      </w:r>
    </w:p>
    <w:p w14:paraId="16BFE93A" w14:textId="77777777" w:rsidR="005A16F9" w:rsidRPr="00387983" w:rsidRDefault="00FD633E" w:rsidP="0012369B">
      <w:pPr>
        <w:pStyle w:val="bodybullet"/>
        <w:rPr>
          <w:szCs w:val="20"/>
        </w:rPr>
      </w:pPr>
      <w:hyperlink r:id="rId54" w:tooltip="South Australian Commercial Fisheries" w:history="1">
        <w:r w:rsidR="005A16F9" w:rsidRPr="00387983">
          <w:rPr>
            <w:rStyle w:val="Hyperlink"/>
            <w:szCs w:val="20"/>
          </w:rPr>
          <w:t>South Australian Commercial Fisheries</w:t>
        </w:r>
      </w:hyperlink>
    </w:p>
    <w:p w14:paraId="5B631349" w14:textId="7417A12B" w:rsidR="005A16F9" w:rsidRPr="00387983" w:rsidRDefault="00FD633E" w:rsidP="0012369B">
      <w:pPr>
        <w:pStyle w:val="bodybullet"/>
        <w:rPr>
          <w:szCs w:val="20"/>
        </w:rPr>
      </w:pPr>
      <w:hyperlink r:id="rId55" w:tooltip="Maritime heritage" w:history="1">
        <w:r w:rsidR="00D83359">
          <w:rPr>
            <w:rStyle w:val="Hyperlink"/>
            <w:szCs w:val="20"/>
          </w:rPr>
          <w:t>Underwater cultural heritage</w:t>
        </w:r>
      </w:hyperlink>
      <w:r w:rsidR="005A16F9" w:rsidRPr="00387983">
        <w:rPr>
          <w:szCs w:val="20"/>
        </w:rPr>
        <w:t xml:space="preserve"> </w:t>
      </w:r>
    </w:p>
    <w:p w14:paraId="343C60D2" w14:textId="77777777" w:rsidR="00851BA3" w:rsidRPr="00851BA3" w:rsidRDefault="00FD633E" w:rsidP="0012369B">
      <w:pPr>
        <w:pStyle w:val="bodybullet"/>
        <w:rPr>
          <w:rStyle w:val="Hyperlink"/>
          <w:color w:val="333333"/>
          <w:szCs w:val="20"/>
        </w:rPr>
      </w:pPr>
      <w:hyperlink r:id="rId56" w:tooltip="Follow links to Interactive Map Tool" w:history="1">
        <w:r w:rsidR="005A16F9" w:rsidRPr="00387983">
          <w:rPr>
            <w:rStyle w:val="Hyperlink"/>
            <w:szCs w:val="20"/>
          </w:rPr>
          <w:t>Protected Matters Search Tool</w:t>
        </w:r>
      </w:hyperlink>
    </w:p>
    <w:p w14:paraId="02E7C0B9" w14:textId="144EBB80" w:rsidR="00AD46FD" w:rsidRDefault="00FD633E" w:rsidP="0012369B">
      <w:pPr>
        <w:pStyle w:val="bodybullet"/>
        <w:rPr>
          <w:rStyle w:val="Hyperlink"/>
        </w:rPr>
      </w:pPr>
      <w:hyperlink r:id="rId57" w:tooltip="Australian biodiversity data" w:history="1">
        <w:r w:rsidR="00851BA3" w:rsidRPr="00851BA3">
          <w:rPr>
            <w:rStyle w:val="Hyperlink"/>
          </w:rPr>
          <w:t>Atlas of Living Australia</w:t>
        </w:r>
      </w:hyperlink>
    </w:p>
    <w:p w14:paraId="2B7BC7E9" w14:textId="77777777" w:rsidR="00AD46FD" w:rsidRDefault="00AD46FD">
      <w:pPr>
        <w:keepLines w:val="0"/>
        <w:suppressAutoHyphens w:val="0"/>
        <w:spacing w:after="0" w:line="240" w:lineRule="auto"/>
        <w:rPr>
          <w:rStyle w:val="Hyperlink"/>
          <w:sz w:val="20"/>
          <w:lang w:val="en"/>
        </w:rPr>
      </w:pPr>
      <w:r>
        <w:rPr>
          <w:rStyle w:val="Hyperlink"/>
        </w:rPr>
        <w:br w:type="page"/>
      </w:r>
    </w:p>
    <w:p w14:paraId="344D0F03" w14:textId="77777777" w:rsidR="007C5141" w:rsidRPr="00002FA2" w:rsidRDefault="007C5141" w:rsidP="006326B5">
      <w:pPr>
        <w:pStyle w:val="Heading2"/>
      </w:pPr>
      <w:r w:rsidRPr="006326B5">
        <w:lastRenderedPageBreak/>
        <w:t>References</w:t>
      </w:r>
    </w:p>
    <w:p w14:paraId="2BD85BFC" w14:textId="77777777" w:rsidR="006326B5" w:rsidRDefault="006326B5" w:rsidP="006326B5">
      <w:pPr>
        <w:pStyle w:val="BodyText"/>
      </w:pPr>
      <w:r>
        <w:t>AUSTRALIAN GOVERNMENT, 2015</w:t>
      </w:r>
      <w:r w:rsidRPr="009532BD">
        <w:t>—</w:t>
      </w:r>
      <w:r>
        <w:t xml:space="preserve">National conservation values atlas, </w:t>
      </w:r>
      <w:hyperlink r:id="rId58" w:history="1">
        <w:r w:rsidRPr="00D107E4">
          <w:rPr>
            <w:rStyle w:val="Hyperlink"/>
          </w:rPr>
          <w:t>http://www.environment.gov.au/webgis-framework/apps/ncva/ncva.jsf</w:t>
        </w:r>
      </w:hyperlink>
    </w:p>
    <w:p w14:paraId="264DA92A" w14:textId="77777777" w:rsidR="006326B5" w:rsidRPr="009532BD" w:rsidRDefault="006326B5" w:rsidP="006326B5">
      <w:pPr>
        <w:pStyle w:val="BodyText"/>
      </w:pPr>
      <w:r w:rsidRPr="009532BD">
        <w:t>BEIN, J. AND TAYLOR, M.L., 1981—The Eyre Sub-basin: recent exploration results. The APEA Journal, 21(1), 91–98.</w:t>
      </w:r>
    </w:p>
    <w:p w14:paraId="0C5F8934" w14:textId="77777777" w:rsidR="006326B5" w:rsidRPr="009532BD" w:rsidRDefault="006326B5" w:rsidP="006326B5">
      <w:pPr>
        <w:pStyle w:val="BodyText"/>
      </w:pPr>
      <w:r w:rsidRPr="009532BD">
        <w:t xml:space="preserve">BLEVIN, J.E., TOTTERDELL, J.M., LOGAN, G.A., KENNARD, J.M., STRUCKMEYER, H.I.M. AND COLWELL, J.B., 2000—Hydrocarbon prospectivity of the Bight Basin—petroleum systems analysis in a frontier basin. In: 2nd </w:t>
      </w:r>
      <w:proofErr w:type="spellStart"/>
      <w:r w:rsidRPr="009532BD">
        <w:t>Sprigg</w:t>
      </w:r>
      <w:proofErr w:type="spellEnd"/>
      <w:r w:rsidRPr="009532BD">
        <w:t xml:space="preserve"> Symposium – Frontier Basins, Frontier Ideas, Adelaide, </w:t>
      </w:r>
      <w:proofErr w:type="gramStart"/>
      <w:r w:rsidRPr="009532BD">
        <w:t>29</w:t>
      </w:r>
      <w:proofErr w:type="gramEnd"/>
      <w:r w:rsidRPr="009532BD">
        <w:t xml:space="preserve">–30 June, 2000. Geological Society of Australia, Abstracts 60, 24–29. </w:t>
      </w:r>
    </w:p>
    <w:p w14:paraId="481F344E" w14:textId="77777777" w:rsidR="006326B5" w:rsidRDefault="006326B5" w:rsidP="006326B5">
      <w:pPr>
        <w:pStyle w:val="BodyText"/>
      </w:pPr>
      <w:r>
        <w:t>BONE, Y. AND JAMES N.P., 2002</w:t>
      </w:r>
      <w:r w:rsidRPr="009532BD">
        <w:t>—</w:t>
      </w:r>
      <w:r w:rsidRPr="007E3680">
        <w:t xml:space="preserve">Bryozoans from temperate Pleistocene deep-water mounds, Great Australian Bight, Australia. In: Wyse Jackson, P.N., </w:t>
      </w:r>
      <w:proofErr w:type="spellStart"/>
      <w:r w:rsidRPr="007E3680">
        <w:t>Buttler</w:t>
      </w:r>
      <w:proofErr w:type="spellEnd"/>
      <w:r w:rsidRPr="007E3680">
        <w:t xml:space="preserve">, C.J. &amp; Spencer-Jones, M. (editors), Bryozoan Studies 2001: 53-59. A.A. </w:t>
      </w:r>
      <w:proofErr w:type="spellStart"/>
      <w:r w:rsidRPr="007E3680">
        <w:t>Balkema</w:t>
      </w:r>
      <w:proofErr w:type="spellEnd"/>
      <w:r w:rsidRPr="007E3680">
        <w:t xml:space="preserve"> Publishers, </w:t>
      </w:r>
      <w:proofErr w:type="spellStart"/>
      <w:r w:rsidRPr="007E3680">
        <w:t>Lisse</w:t>
      </w:r>
      <w:proofErr w:type="spellEnd"/>
      <w:r w:rsidRPr="007E3680">
        <w:t>, Abingdon, Exton, Tokyo.</w:t>
      </w:r>
    </w:p>
    <w:p w14:paraId="702678D0" w14:textId="40EC9C67" w:rsidR="006326B5" w:rsidRDefault="006326B5" w:rsidP="006326B5">
      <w:pPr>
        <w:pStyle w:val="BodyText"/>
      </w:pPr>
      <w:r w:rsidRPr="009532BD">
        <w:t xml:space="preserve">BOREHAM, C.J., 2009—Organic geochemistry: source rock characterisation. In: </w:t>
      </w:r>
      <w:proofErr w:type="spellStart"/>
      <w:r w:rsidRPr="009532BD">
        <w:t>Totterdell</w:t>
      </w:r>
      <w:proofErr w:type="spellEnd"/>
      <w:r w:rsidRPr="009532BD">
        <w:t xml:space="preserve">, J. &amp; Mitchell, C. (Editors), </w:t>
      </w:r>
      <w:hyperlink r:id="rId59" w:history="1">
        <w:r w:rsidRPr="00387983">
          <w:rPr>
            <w:rStyle w:val="Hyperlink"/>
          </w:rPr>
          <w:t>Bight Basin geological sampling and seepage survey: RV Southern Surveyor SS01/2007. Geoscience Australia, Record, 2009/24</w:t>
        </w:r>
      </w:hyperlink>
      <w:r w:rsidRPr="009532BD">
        <w:t>, 36–60.</w:t>
      </w:r>
    </w:p>
    <w:p w14:paraId="0EF5B3A9" w14:textId="77777777" w:rsidR="006326B5" w:rsidRPr="009532BD" w:rsidRDefault="006326B5" w:rsidP="006326B5">
      <w:pPr>
        <w:pStyle w:val="BodyText"/>
      </w:pPr>
      <w:r w:rsidRPr="009532BD">
        <w:t>BOREHAM, C.J., KRASSAY, A.A. AND TOTTERDELL, J.M., 2001—</w:t>
      </w:r>
      <w:proofErr w:type="gramStart"/>
      <w:r w:rsidRPr="009532BD">
        <w:t>Geochemical</w:t>
      </w:r>
      <w:proofErr w:type="gramEnd"/>
      <w:r w:rsidRPr="009532BD">
        <w:t xml:space="preserve"> comparisons between </w:t>
      </w:r>
      <w:proofErr w:type="spellStart"/>
      <w:r w:rsidRPr="009532BD">
        <w:t>asphaltites</w:t>
      </w:r>
      <w:proofErr w:type="spellEnd"/>
      <w:r w:rsidRPr="009532BD">
        <w:t xml:space="preserve"> on the southern Australian margin and Cretaceous source rock analogues. In: Hill, K.C. and Bernecker, T. (</w:t>
      </w:r>
      <w:proofErr w:type="spellStart"/>
      <w:proofErr w:type="gramStart"/>
      <w:r w:rsidRPr="009532BD">
        <w:t>eds</w:t>
      </w:r>
      <w:proofErr w:type="spellEnd"/>
      <w:proofErr w:type="gramEnd"/>
      <w:r w:rsidRPr="009532BD">
        <w:t>), Eastern Australian Basin Symposium: A Refocused Energy Perspective for the Future. Petroleum Exploration Society of Australia, Special Publication, 531–541.</w:t>
      </w:r>
    </w:p>
    <w:p w14:paraId="02FA03AF" w14:textId="362FCA57" w:rsidR="006326B5" w:rsidRPr="009532BD" w:rsidRDefault="006326B5" w:rsidP="006326B5">
      <w:pPr>
        <w:pStyle w:val="BodyText"/>
      </w:pPr>
      <w:r>
        <w:t>BP, 2016</w:t>
      </w:r>
      <w:r w:rsidRPr="009532BD">
        <w:t>—</w:t>
      </w:r>
      <w:r w:rsidRPr="00201A66">
        <w:t>BP decides not to proceed with Great Australian Bight exploration</w:t>
      </w:r>
      <w:r>
        <w:t xml:space="preserve">. BP Press Release, 11 October 2016. </w:t>
      </w:r>
      <w:hyperlink r:id="rId60" w:history="1">
        <w:r w:rsidR="00B618DF" w:rsidRPr="00871734">
          <w:rPr>
            <w:rStyle w:val="Hyperlink"/>
          </w:rPr>
          <w:t>https://www.bp.com/en/global/corporate/news-and-insights/press-releases/bp-decides-not-to-proceed-with-great-australian-bight-exploration.html</w:t>
        </w:r>
      </w:hyperlink>
      <w:r w:rsidR="00B618DF">
        <w:t xml:space="preserve"> (last accessed 22 June</w:t>
      </w:r>
      <w:r>
        <w:t xml:space="preserve"> 20</w:t>
      </w:r>
      <w:r w:rsidR="00B618DF">
        <w:t>20</w:t>
      </w:r>
      <w:r>
        <w:t>).</w:t>
      </w:r>
    </w:p>
    <w:p w14:paraId="4C6C0745" w14:textId="77777777" w:rsidR="006326B5" w:rsidRPr="009532BD" w:rsidRDefault="006326B5" w:rsidP="006326B5">
      <w:pPr>
        <w:pStyle w:val="BodyText"/>
      </w:pPr>
      <w:r w:rsidRPr="009532BD">
        <w:t xml:space="preserve">BRADSHAW, B.E. (COMPILER), 2005—Geology and petroleum prospectivity of the Bremer Sub-basin, offshore </w:t>
      </w:r>
      <w:proofErr w:type="spellStart"/>
      <w:r w:rsidRPr="009532BD">
        <w:t>southwestern</w:t>
      </w:r>
      <w:proofErr w:type="spellEnd"/>
      <w:r w:rsidRPr="009532BD">
        <w:t xml:space="preserve"> Australia. Geoscience Australia Record, 2005/21, 118pp</w:t>
      </w:r>
    </w:p>
    <w:p w14:paraId="675FD2D5" w14:textId="0E803296" w:rsidR="006326B5" w:rsidRPr="009532BD" w:rsidRDefault="006326B5" w:rsidP="006326B5">
      <w:pPr>
        <w:pStyle w:val="BodyText"/>
      </w:pPr>
      <w:r w:rsidRPr="009532BD">
        <w:t>BRADSHAW, B.E., ROLLET, N., TOTTERDELL, J.M. AND BORISSOVA, I., 2003—</w:t>
      </w:r>
      <w:hyperlink r:id="rId61" w:history="1">
        <w:r w:rsidRPr="00403077">
          <w:rPr>
            <w:rStyle w:val="Hyperlink"/>
          </w:rPr>
          <w:t xml:space="preserve">A revised structural framework for frontier basins on the southern and </w:t>
        </w:r>
        <w:proofErr w:type="spellStart"/>
        <w:r w:rsidRPr="00403077">
          <w:rPr>
            <w:rStyle w:val="Hyperlink"/>
          </w:rPr>
          <w:t>southwestern</w:t>
        </w:r>
        <w:proofErr w:type="spellEnd"/>
        <w:r w:rsidRPr="00403077">
          <w:rPr>
            <w:rStyle w:val="Hyperlink"/>
          </w:rPr>
          <w:t xml:space="preserve"> Australian continental margin. Geoscience Australia Record, 2003/03</w:t>
        </w:r>
      </w:hyperlink>
      <w:r w:rsidRPr="009532BD">
        <w:t>, 89pp.</w:t>
      </w:r>
    </w:p>
    <w:p w14:paraId="62283461" w14:textId="2F8F830E" w:rsidR="006326B5" w:rsidRDefault="006326B5" w:rsidP="006326B5">
      <w:pPr>
        <w:pStyle w:val="BodyText"/>
      </w:pPr>
      <w:r w:rsidRPr="009532BD">
        <w:t>CATHAY PETROLEUM AND ARCADIA PETROLEUM, 2012—</w:t>
      </w:r>
      <w:r w:rsidR="00387983" w:rsidRPr="00387983">
        <w:t xml:space="preserve"> </w:t>
      </w:r>
      <w:r w:rsidR="00387983" w:rsidRPr="009532BD">
        <w:t>West Australia permits WA-379-P and WA-380-P Bremer Basin</w:t>
      </w:r>
      <w:r w:rsidRPr="009532BD">
        <w:t>. PESA Deal Day presentation, 13 May 2012 (unpublished).</w:t>
      </w:r>
    </w:p>
    <w:p w14:paraId="3B6E68DF" w14:textId="17ECC46C" w:rsidR="006326B5" w:rsidRDefault="006326B5" w:rsidP="006326B5">
      <w:pPr>
        <w:pStyle w:val="BodyText"/>
      </w:pPr>
      <w:r w:rsidRPr="005361CA">
        <w:t>CHAMBERS, M.S., SIDHU, L.A., O’NEILL, B</w:t>
      </w:r>
      <w:r>
        <w:t>.</w:t>
      </w:r>
      <w:r w:rsidRPr="00EE3E25">
        <w:t xml:space="preserve"> </w:t>
      </w:r>
      <w:r w:rsidRPr="005361CA">
        <w:t>AND SIBANDA, N., 2017</w:t>
      </w:r>
      <w:r w:rsidRPr="009532BD">
        <w:t>—</w:t>
      </w:r>
      <w:hyperlink r:id="rId62" w:history="1">
        <w:r w:rsidRPr="00387983">
          <w:rPr>
            <w:rStyle w:val="Hyperlink"/>
          </w:rPr>
          <w:t xml:space="preserve">Evidence of separate subgroups of juvenile southern </w:t>
        </w:r>
        <w:proofErr w:type="spellStart"/>
        <w:r w:rsidRPr="00387983">
          <w:rPr>
            <w:rStyle w:val="Hyperlink"/>
          </w:rPr>
          <w:t>bluefin</w:t>
        </w:r>
        <w:proofErr w:type="spellEnd"/>
        <w:r w:rsidRPr="00387983">
          <w:rPr>
            <w:rStyle w:val="Hyperlink"/>
          </w:rPr>
          <w:t xml:space="preserve"> tuna</w:t>
        </w:r>
      </w:hyperlink>
      <w:r w:rsidRPr="005361CA">
        <w:t>. Ecology and Evolution 7, 9818-9844.</w:t>
      </w:r>
    </w:p>
    <w:p w14:paraId="15BA019D" w14:textId="3043D27B" w:rsidR="006326B5" w:rsidRDefault="006326B5" w:rsidP="006326B5">
      <w:pPr>
        <w:pStyle w:val="BodyText"/>
      </w:pPr>
      <w:r w:rsidRPr="005361CA">
        <w:t>CHAPPELL, J. AND SHACKLETON</w:t>
      </w:r>
      <w:r>
        <w:t>,</w:t>
      </w:r>
      <w:r w:rsidRPr="005361CA">
        <w:t xml:space="preserve"> N.J., 1986</w:t>
      </w:r>
      <w:r w:rsidRPr="009532BD">
        <w:t>—</w:t>
      </w:r>
      <w:hyperlink r:id="rId63" w:history="1">
        <w:r w:rsidRPr="00BE6026">
          <w:rPr>
            <w:rStyle w:val="Hyperlink"/>
          </w:rPr>
          <w:t>Oxygen isotopes and sea level</w:t>
        </w:r>
      </w:hyperlink>
      <w:r w:rsidRPr="005361CA">
        <w:t>. Nature, 324, 137</w:t>
      </w:r>
      <w:r w:rsidRPr="009532BD">
        <w:t>–</w:t>
      </w:r>
      <w:r w:rsidRPr="005361CA">
        <w:t>140.</w:t>
      </w:r>
    </w:p>
    <w:p w14:paraId="1BDCAC45" w14:textId="3368214C" w:rsidR="006326B5" w:rsidRPr="009532BD" w:rsidRDefault="006326B5" w:rsidP="006326B5">
      <w:pPr>
        <w:pStyle w:val="BodyText"/>
      </w:pPr>
      <w:r>
        <w:t>CHEVRON, 2017</w:t>
      </w:r>
      <w:r w:rsidRPr="009532BD">
        <w:t>—</w:t>
      </w:r>
      <w:r>
        <w:t xml:space="preserve">[webpage] </w:t>
      </w:r>
      <w:r w:rsidRPr="003F09B7">
        <w:t>Chevron Australia reaffirms its long-term commitment to Australia</w:t>
      </w:r>
      <w:r>
        <w:t xml:space="preserve">. </w:t>
      </w:r>
      <w:hyperlink r:id="rId64" w:history="1">
        <w:r w:rsidR="00B618DF">
          <w:rPr>
            <w:rStyle w:val="Hyperlink"/>
          </w:rPr>
          <w:t>https://australia.chevron.com/news/2017/chevron-australia-reaffirms-its-long-term-commitment-to-australia</w:t>
        </w:r>
      </w:hyperlink>
      <w:r w:rsidR="00B618DF">
        <w:t xml:space="preserve"> (last accessed 22 June 2020</w:t>
      </w:r>
      <w:r>
        <w:t>).</w:t>
      </w:r>
    </w:p>
    <w:p w14:paraId="7BC98A6F" w14:textId="5F3C5D66" w:rsidR="006326B5" w:rsidRDefault="006326B5" w:rsidP="006326B5">
      <w:pPr>
        <w:pStyle w:val="BodyText"/>
      </w:pPr>
      <w:r w:rsidRPr="009532BD">
        <w:t>COWLEY, R., 2001—</w:t>
      </w:r>
      <w:proofErr w:type="spellStart"/>
      <w:r w:rsidR="00274BF9">
        <w:fldChar w:fldCharType="begin"/>
      </w:r>
      <w:r w:rsidR="00274BF9">
        <w:instrText xml:space="preserve"> HYPERLINK "http://pid.geoscience.gov.au/dataset/ga/34395" </w:instrText>
      </w:r>
      <w:r w:rsidR="00274BF9">
        <w:fldChar w:fldCharType="separate"/>
      </w:r>
      <w:r w:rsidRPr="00BE6026">
        <w:rPr>
          <w:rStyle w:val="Hyperlink"/>
        </w:rPr>
        <w:t>MkII</w:t>
      </w:r>
      <w:proofErr w:type="spellEnd"/>
      <w:r w:rsidRPr="00BE6026">
        <w:rPr>
          <w:rStyle w:val="Hyperlink"/>
        </w:rPr>
        <w:t xml:space="preserve"> airborne laser </w:t>
      </w:r>
      <w:proofErr w:type="spellStart"/>
      <w:r w:rsidRPr="00BE6026">
        <w:rPr>
          <w:rStyle w:val="Hyperlink"/>
        </w:rPr>
        <w:t>fluorosensor</w:t>
      </w:r>
      <w:proofErr w:type="spellEnd"/>
      <w:r w:rsidRPr="00BE6026">
        <w:rPr>
          <w:rStyle w:val="Hyperlink"/>
        </w:rPr>
        <w:t xml:space="preserve"> survey reprocessing and interpretation report: Great Australian Bight, southern Australia. Australian Geological Survey Organisation Record, 2001/18</w:t>
      </w:r>
      <w:r w:rsidR="00274BF9">
        <w:rPr>
          <w:rStyle w:val="Hyperlink"/>
        </w:rPr>
        <w:fldChar w:fldCharType="end"/>
      </w:r>
      <w:r w:rsidRPr="009532BD">
        <w:t>, 53pp.</w:t>
      </w:r>
    </w:p>
    <w:p w14:paraId="7DD0CD71" w14:textId="77777777" w:rsidR="006326B5" w:rsidRDefault="006326B5" w:rsidP="006326B5">
      <w:pPr>
        <w:pStyle w:val="BodyText"/>
      </w:pPr>
      <w:r>
        <w:t>CURRIE, D.R. AND SOROKIN, S.J. 2014</w:t>
      </w:r>
      <w:r w:rsidRPr="009532BD">
        <w:t>—</w:t>
      </w:r>
      <w:proofErr w:type="spellStart"/>
      <w:r>
        <w:t>Megabenthic</w:t>
      </w:r>
      <w:proofErr w:type="spellEnd"/>
      <w:r>
        <w:t xml:space="preserve"> biodiversity in two contrasting submarine canyons on Australia's southern continental margin. Marine Biology Research, 10, 97-110.</w:t>
      </w:r>
    </w:p>
    <w:p w14:paraId="4E665179" w14:textId="0AF4D1C6" w:rsidR="006326B5" w:rsidRDefault="006326B5" w:rsidP="006326B5">
      <w:pPr>
        <w:pStyle w:val="BodyText"/>
      </w:pPr>
      <w:r w:rsidRPr="005361CA">
        <w:t>CURRIE</w:t>
      </w:r>
      <w:r>
        <w:t>,</w:t>
      </w:r>
      <w:r w:rsidRPr="005361CA">
        <w:t xml:space="preserve"> D.R., SOROKIN</w:t>
      </w:r>
      <w:r>
        <w:t>,</w:t>
      </w:r>
      <w:r w:rsidRPr="005361CA">
        <w:t xml:space="preserve"> S.J. AND WARD</w:t>
      </w:r>
      <w:r>
        <w:t>,</w:t>
      </w:r>
      <w:r w:rsidRPr="005361CA">
        <w:t xml:space="preserve"> T.M.</w:t>
      </w:r>
      <w:r>
        <w:t>,</w:t>
      </w:r>
      <w:r w:rsidRPr="005361CA">
        <w:t xml:space="preserve"> 2009—</w:t>
      </w:r>
      <w:proofErr w:type="spellStart"/>
      <w:r w:rsidR="00274BF9">
        <w:fldChar w:fldCharType="begin"/>
      </w:r>
      <w:r w:rsidR="00274BF9">
        <w:instrText xml:space="preserve"> HYPERLINK "https://doi.org/10.1071/MF08239" </w:instrText>
      </w:r>
      <w:r w:rsidR="00274BF9">
        <w:fldChar w:fldCharType="separate"/>
      </w:r>
      <w:r w:rsidRPr="00CA4CC4">
        <w:rPr>
          <w:rStyle w:val="Hyperlink"/>
        </w:rPr>
        <w:t>Infaunal</w:t>
      </w:r>
      <w:proofErr w:type="spellEnd"/>
      <w:r w:rsidRPr="00CA4CC4">
        <w:rPr>
          <w:rStyle w:val="Hyperlink"/>
        </w:rPr>
        <w:t xml:space="preserve"> macroinvertebrate assemblages of the eastern Great Australian Bight: effectiveness of a marine protected area in representing the region's benthic biodiversity</w:t>
      </w:r>
      <w:r w:rsidR="00274BF9">
        <w:rPr>
          <w:rStyle w:val="Hyperlink"/>
        </w:rPr>
        <w:fldChar w:fldCharType="end"/>
      </w:r>
      <w:r w:rsidRPr="005361CA">
        <w:t>. Marine and Freshwater Research, 60, 459-474.</w:t>
      </w:r>
    </w:p>
    <w:p w14:paraId="46507EAD" w14:textId="7FC84239" w:rsidR="006326B5" w:rsidRDefault="006326B5" w:rsidP="006326B5">
      <w:pPr>
        <w:pStyle w:val="BodyText"/>
      </w:pPr>
      <w:r w:rsidRPr="00DA252E">
        <w:t>EDWARDS</w:t>
      </w:r>
      <w:r>
        <w:t xml:space="preserve">, D.S., </w:t>
      </w:r>
      <w:r w:rsidRPr="00812A15">
        <w:t xml:space="preserve">MCKIRDY, </w:t>
      </w:r>
      <w:r>
        <w:t xml:space="preserve">D.M., </w:t>
      </w:r>
      <w:r w:rsidRPr="00812A15">
        <w:t xml:space="preserve">ROWLAND, </w:t>
      </w:r>
      <w:r>
        <w:t xml:space="preserve">S. J., </w:t>
      </w:r>
      <w:r w:rsidRPr="00812A15">
        <w:t xml:space="preserve">HEATH, </w:t>
      </w:r>
      <w:r>
        <w:t xml:space="preserve">D. J. AND </w:t>
      </w:r>
      <w:r w:rsidRPr="00812A15">
        <w:t>GRAY,</w:t>
      </w:r>
      <w:r>
        <w:t xml:space="preserve"> P. S., 2018</w:t>
      </w:r>
      <w:r w:rsidRPr="00AA1040">
        <w:t>—</w:t>
      </w:r>
      <w:hyperlink r:id="rId65" w:history="1">
        <w:r w:rsidRPr="00CA4CC4">
          <w:rPr>
            <w:rStyle w:val="Hyperlink"/>
          </w:rPr>
          <w:t>Waxy bitumen stranding in southern Australia: A geochemical study of multiple oil families and their likely origins</w:t>
        </w:r>
      </w:hyperlink>
      <w:r w:rsidR="00CA4CC4">
        <w:t>.</w:t>
      </w:r>
      <w:r>
        <w:t xml:space="preserve"> Organic Geochemistry, </w:t>
      </w:r>
      <w:r w:rsidR="00CA4CC4">
        <w:t>118, 132-151</w:t>
      </w:r>
      <w:r>
        <w:t>.</w:t>
      </w:r>
    </w:p>
    <w:p w14:paraId="19188605" w14:textId="0EAC9B19" w:rsidR="006326B5" w:rsidRDefault="006326B5" w:rsidP="006326B5">
      <w:pPr>
        <w:pStyle w:val="BodyText"/>
      </w:pPr>
      <w:r>
        <w:t>ED</w:t>
      </w:r>
      <w:r w:rsidR="009F0FCF">
        <w:t xml:space="preserve">WARDS, D.S., MCKIRDY, D.M. AND </w:t>
      </w:r>
      <w:r>
        <w:t xml:space="preserve">SUMMONS, R.E., 1998. </w:t>
      </w:r>
      <w:hyperlink r:id="rId66" w:history="1">
        <w:r w:rsidRPr="00CA4CC4">
          <w:rPr>
            <w:rStyle w:val="Hyperlink"/>
          </w:rPr>
          <w:t xml:space="preserve">Enigmatic </w:t>
        </w:r>
        <w:proofErr w:type="spellStart"/>
        <w:r w:rsidRPr="00CA4CC4">
          <w:rPr>
            <w:rStyle w:val="Hyperlink"/>
          </w:rPr>
          <w:t>asphaltites</w:t>
        </w:r>
        <w:proofErr w:type="spellEnd"/>
        <w:r w:rsidRPr="00CA4CC4">
          <w:rPr>
            <w:rStyle w:val="Hyperlink"/>
          </w:rPr>
          <w:t xml:space="preserve"> from southern Australia: molecular and carbon isotopic composition</w:t>
        </w:r>
      </w:hyperlink>
      <w:r>
        <w:t>. PESA Journal, 26, 100–123.</w:t>
      </w:r>
    </w:p>
    <w:p w14:paraId="5CDA391E" w14:textId="20D06D82" w:rsidR="006326B5" w:rsidRDefault="006326B5" w:rsidP="006326B5">
      <w:pPr>
        <w:pStyle w:val="BodyText"/>
      </w:pPr>
      <w:r w:rsidRPr="00AA1040">
        <w:lastRenderedPageBreak/>
        <w:t>EDWARDS, D.S., VINALL, D.R., CORRICK, A.J. AND MCKIRDY, D.M., 2016—</w:t>
      </w:r>
      <w:hyperlink r:id="rId67" w:history="1">
        <w:r w:rsidRPr="00CA4CC4">
          <w:rPr>
            <w:rStyle w:val="Hyperlink"/>
          </w:rPr>
          <w:t>Natural Bitumen Stranding on the Ocean Beaches of Southern Australia: A Historical and Geospatial Review</w:t>
        </w:r>
      </w:hyperlink>
      <w:r w:rsidRPr="00AA1040">
        <w:t>. Transactions of the Royal Society of South Australia, 140(2), 152-185.</w:t>
      </w:r>
    </w:p>
    <w:p w14:paraId="72C99008" w14:textId="77777777" w:rsidR="00343C17" w:rsidRDefault="00343C17" w:rsidP="00343C17">
      <w:pPr>
        <w:pStyle w:val="BodyText"/>
      </w:pPr>
      <w:r>
        <w:t>EDYVANE, K., 1998—Great Australian Bight Marine Park Management Plan, Part B, Resource Information. Department for Environment, Heritage, and Aboriginal Affairs, South Australia, 70 pp.</w:t>
      </w:r>
    </w:p>
    <w:p w14:paraId="710A8FCF" w14:textId="1042DA29" w:rsidR="008328A7" w:rsidRDefault="008328A7" w:rsidP="008328A7">
      <w:pPr>
        <w:pStyle w:val="BodyText"/>
      </w:pPr>
      <w:r w:rsidRPr="00E53D75">
        <w:rPr>
          <w:caps/>
        </w:rPr>
        <w:t>Equinor</w:t>
      </w:r>
      <w:r>
        <w:t>, 2019</w:t>
      </w:r>
      <w:r w:rsidRPr="009C6C75">
        <w:t>—</w:t>
      </w:r>
      <w:r>
        <w:t xml:space="preserve">[webpage] Environment Plan for the Stromlo-1 Exploration Drilling Program, </w:t>
      </w:r>
      <w:r w:rsidRPr="008328A7">
        <w:t>Revision 1, April 2019</w:t>
      </w:r>
      <w:r>
        <w:t xml:space="preserve">. </w:t>
      </w:r>
      <w:hyperlink r:id="rId68" w:history="1">
        <w:r w:rsidRPr="00871734">
          <w:rPr>
            <w:rStyle w:val="Hyperlink"/>
          </w:rPr>
          <w:t>https://www.equinor.com/content/dam/statoil/documents/australia/gab-project/Equinor-Environment-Plan-Rev-1-20190422.pdf</w:t>
        </w:r>
      </w:hyperlink>
      <w:r>
        <w:t xml:space="preserve"> (last accessed 20 June 2020).</w:t>
      </w:r>
    </w:p>
    <w:p w14:paraId="21D691A9" w14:textId="651823FE" w:rsidR="00E53D75" w:rsidRDefault="00E53D75" w:rsidP="006326B5">
      <w:pPr>
        <w:pStyle w:val="BodyText"/>
      </w:pPr>
      <w:r w:rsidRPr="00E53D75">
        <w:rPr>
          <w:caps/>
        </w:rPr>
        <w:t>Equinor</w:t>
      </w:r>
      <w:r>
        <w:t>, 2020</w:t>
      </w:r>
      <w:r w:rsidRPr="009C6C75">
        <w:t>—</w:t>
      </w:r>
      <w:r>
        <w:t xml:space="preserve">[webpage] </w:t>
      </w:r>
      <w:proofErr w:type="spellStart"/>
      <w:r w:rsidRPr="00E53D75">
        <w:t>Equinor</w:t>
      </w:r>
      <w:proofErr w:type="spellEnd"/>
      <w:r w:rsidRPr="00E53D75">
        <w:t xml:space="preserve"> to discontinue exploration drilling plan in the Great Australian Bight</w:t>
      </w:r>
      <w:r>
        <w:t xml:space="preserve">, 25 February 2020. </w:t>
      </w:r>
      <w:hyperlink r:id="rId69" w:history="1">
        <w:r>
          <w:rPr>
            <w:rStyle w:val="Hyperlink"/>
          </w:rPr>
          <w:t>https://www.equinor.com/en/news/2020-02-australia-exploration.html</w:t>
        </w:r>
      </w:hyperlink>
      <w:r>
        <w:t xml:space="preserve"> (last accessed 20 June 2020).</w:t>
      </w:r>
    </w:p>
    <w:p w14:paraId="111998FF" w14:textId="6FB8DBD6" w:rsidR="006326B5" w:rsidRPr="009532BD" w:rsidRDefault="006326B5" w:rsidP="006326B5">
      <w:pPr>
        <w:pStyle w:val="BodyText"/>
      </w:pPr>
      <w:r w:rsidRPr="00BB0891">
        <w:t>EVANS, K., ROGERS, P.</w:t>
      </w:r>
      <w:r>
        <w:t xml:space="preserve"> AND</w:t>
      </w:r>
      <w:r w:rsidRPr="00BB0891">
        <w:t xml:space="preserve"> GOLDSWORTHY, S., 2017</w:t>
      </w:r>
      <w:r w:rsidRPr="009C6C75">
        <w:t>—</w:t>
      </w:r>
      <w:hyperlink r:id="rId70" w:history="1">
        <w:r w:rsidRPr="00CA4CC4">
          <w:rPr>
            <w:rStyle w:val="Hyperlink"/>
          </w:rPr>
          <w:t>Theme 4: Ecology of iconic species and apex predators. Great Australian Bight Research Program</w:t>
        </w:r>
      </w:hyperlink>
      <w:r w:rsidRPr="00BB0891">
        <w:t xml:space="preserve">, </w:t>
      </w:r>
      <w:r w:rsidRPr="00F03295">
        <w:t xml:space="preserve">GABRP Research Report Series Number 37, </w:t>
      </w:r>
      <w:r w:rsidRPr="00BB0891">
        <w:t>19</w:t>
      </w:r>
      <w:r>
        <w:t xml:space="preserve"> pp</w:t>
      </w:r>
      <w:r w:rsidRPr="00BB0891">
        <w:t>.</w:t>
      </w:r>
    </w:p>
    <w:p w14:paraId="720E479D" w14:textId="237F5B73" w:rsidR="005A16F9" w:rsidRDefault="005A16F9" w:rsidP="006326B5">
      <w:pPr>
        <w:pStyle w:val="BodyText"/>
      </w:pPr>
      <w:r w:rsidRPr="008C4FDF">
        <w:rPr>
          <w:rFonts w:cs="Arial"/>
          <w:szCs w:val="20"/>
        </w:rPr>
        <w:t xml:space="preserve">FARRELLY, C.A. </w:t>
      </w:r>
      <w:r>
        <w:rPr>
          <w:rFonts w:cs="Arial"/>
          <w:szCs w:val="20"/>
        </w:rPr>
        <w:t xml:space="preserve">AND </w:t>
      </w:r>
      <w:r w:rsidRPr="008C4FDF">
        <w:rPr>
          <w:rFonts w:cs="Arial"/>
          <w:szCs w:val="20"/>
        </w:rPr>
        <w:t>AHYONG, S.T., 2019</w:t>
      </w:r>
      <w:r w:rsidRPr="009C6C75">
        <w:t>—</w:t>
      </w:r>
      <w:hyperlink r:id="rId71" w:history="1">
        <w:r w:rsidRPr="008C4FDF">
          <w:rPr>
            <w:rStyle w:val="Hyperlink"/>
            <w:rFonts w:eastAsiaTheme="minorHAnsi" w:cs="Arial"/>
            <w:szCs w:val="20"/>
          </w:rPr>
          <w:t xml:space="preserve">Deepwater decapod, stomatopod and </w:t>
        </w:r>
        <w:proofErr w:type="spellStart"/>
        <w:r w:rsidRPr="008C4FDF">
          <w:rPr>
            <w:rStyle w:val="Hyperlink"/>
            <w:rFonts w:eastAsiaTheme="minorHAnsi" w:cs="Arial"/>
            <w:szCs w:val="20"/>
          </w:rPr>
          <w:t>lophogastrid</w:t>
        </w:r>
        <w:proofErr w:type="spellEnd"/>
        <w:r w:rsidRPr="008C4FDF">
          <w:rPr>
            <w:rStyle w:val="Hyperlink"/>
            <w:rFonts w:eastAsiaTheme="minorHAnsi" w:cs="Arial"/>
            <w:szCs w:val="20"/>
          </w:rPr>
          <w:t xml:space="preserve"> </w:t>
        </w:r>
        <w:proofErr w:type="spellStart"/>
        <w:r w:rsidRPr="008C4FDF">
          <w:rPr>
            <w:rStyle w:val="Hyperlink"/>
            <w:rFonts w:eastAsiaTheme="minorHAnsi" w:cs="Arial"/>
            <w:szCs w:val="20"/>
          </w:rPr>
          <w:t>Crustacea</w:t>
        </w:r>
        <w:proofErr w:type="spellEnd"/>
        <w:r w:rsidRPr="008C4FDF">
          <w:rPr>
            <w:rStyle w:val="Hyperlink"/>
            <w:rFonts w:eastAsiaTheme="minorHAnsi" w:cs="Arial"/>
            <w:szCs w:val="20"/>
          </w:rPr>
          <w:t xml:space="preserve"> from Eastern Australia and the Great Australian Bight collected in 2015–2017: preliminary identifications of 191 species</w:t>
        </w:r>
        <w:r w:rsidRPr="00EB269B">
          <w:rPr>
            <w:rStyle w:val="Hyperlink"/>
            <w:rFonts w:eastAsiaTheme="minorHAnsi" w:cs="Arial"/>
            <w:szCs w:val="20"/>
          </w:rPr>
          <w:t>.</w:t>
        </w:r>
      </w:hyperlink>
      <w:r>
        <w:rPr>
          <w:rFonts w:eastAsiaTheme="minorHAnsi" w:cs="Arial"/>
          <w:color w:val="auto"/>
          <w:szCs w:val="20"/>
        </w:rPr>
        <w:t xml:space="preserve"> </w:t>
      </w:r>
      <w:r w:rsidRPr="005A16F9">
        <w:t>Museum Victoria Science Reports 21, 1-97.</w:t>
      </w:r>
    </w:p>
    <w:p w14:paraId="1E0F1A8C" w14:textId="56BB7F44" w:rsidR="006326B5" w:rsidRDefault="006326B5" w:rsidP="006326B5">
      <w:pPr>
        <w:pStyle w:val="BodyText"/>
      </w:pPr>
      <w:r w:rsidRPr="009532BD">
        <w:t>FRASER, A.R. AND TILBURY, L.A., 1979—</w:t>
      </w:r>
      <w:hyperlink r:id="rId72" w:history="1">
        <w:r w:rsidRPr="00CA4CC4">
          <w:rPr>
            <w:rStyle w:val="Hyperlink"/>
          </w:rPr>
          <w:t>Structure and stratigraphy of the Ceduna Terrace region, Great Australian Bight</w:t>
        </w:r>
      </w:hyperlink>
      <w:r w:rsidRPr="009532BD">
        <w:t>. The APEA Journal, 19(1), 53–65.</w:t>
      </w:r>
    </w:p>
    <w:p w14:paraId="447A3145" w14:textId="17192029" w:rsidR="006326B5" w:rsidRPr="009532BD" w:rsidRDefault="006326B5" w:rsidP="006326B5">
      <w:pPr>
        <w:pStyle w:val="BodyText"/>
      </w:pPr>
      <w:r w:rsidRPr="008F090E">
        <w:t xml:space="preserve">FRERY, E., DUCROS, M., LANGHI, L., STRAND, J., </w:t>
      </w:r>
      <w:r>
        <w:t>AND</w:t>
      </w:r>
      <w:r w:rsidRPr="008F090E">
        <w:t xml:space="preserve"> RO</w:t>
      </w:r>
      <w:r>
        <w:t>SS, A., 2017</w:t>
      </w:r>
      <w:r w:rsidRPr="00AA1040">
        <w:t>—</w:t>
      </w:r>
      <w:hyperlink r:id="rId73" w:history="1">
        <w:r w:rsidRPr="00CA4CC4">
          <w:rPr>
            <w:rStyle w:val="Hyperlink"/>
          </w:rPr>
          <w:t>Integrated 3D basin and petroleum systems modelling of the Great Australian Bight</w:t>
        </w:r>
      </w:hyperlink>
      <w:r w:rsidRPr="008F090E">
        <w:t>. The APPEA Journal, 57(2), 733-737.</w:t>
      </w:r>
    </w:p>
    <w:p w14:paraId="6BEAE9AF" w14:textId="77777777" w:rsidR="006326B5" w:rsidRDefault="006326B5" w:rsidP="006326B5">
      <w:pPr>
        <w:pStyle w:val="BodyText"/>
      </w:pPr>
      <w:r w:rsidRPr="009532BD">
        <w:t xml:space="preserve">HILL, A.J., 1995—Bight Basin. In: Drexel, J.F. and </w:t>
      </w:r>
      <w:proofErr w:type="spellStart"/>
      <w:r w:rsidRPr="009532BD">
        <w:t>Preiss</w:t>
      </w:r>
      <w:proofErr w:type="spellEnd"/>
      <w:r w:rsidRPr="009532BD">
        <w:t>, W.V. (</w:t>
      </w:r>
      <w:proofErr w:type="spellStart"/>
      <w:proofErr w:type="gramStart"/>
      <w:r w:rsidRPr="009532BD">
        <w:t>eds</w:t>
      </w:r>
      <w:proofErr w:type="spellEnd"/>
      <w:proofErr w:type="gramEnd"/>
      <w:r w:rsidRPr="009532BD">
        <w:t xml:space="preserve">), The geology of South Australia. Vol. 2, </w:t>
      </w:r>
      <w:proofErr w:type="gramStart"/>
      <w:r w:rsidRPr="009532BD">
        <w:t>The</w:t>
      </w:r>
      <w:proofErr w:type="gramEnd"/>
      <w:r w:rsidRPr="009532BD">
        <w:t xml:space="preserve"> Phanerozoic. Geological Survey of South Australia, Bulletin, 54, 133–149.</w:t>
      </w:r>
    </w:p>
    <w:p w14:paraId="2E13DB1B" w14:textId="460CCFC2" w:rsidR="006326B5" w:rsidRDefault="006326B5" w:rsidP="006326B5">
      <w:pPr>
        <w:pStyle w:val="BodyText"/>
      </w:pPr>
      <w:r w:rsidRPr="00232183">
        <w:t>HILL, P., ROLLET, N. AND SYMONDS, P.</w:t>
      </w:r>
      <w:r>
        <w:t>,</w:t>
      </w:r>
      <w:r w:rsidRPr="00232183">
        <w:t xml:space="preserve"> 2001—</w:t>
      </w:r>
      <w:hyperlink r:id="rId74" w:history="1">
        <w:r w:rsidRPr="00CA4CC4">
          <w:rPr>
            <w:rStyle w:val="Hyperlink"/>
          </w:rPr>
          <w:t>Seafloor mapping of the southeast marine region and adjacent waters—AUSTREA final report: Lord Howe Island, southeast Australian margin (includes Tasmania and South Tasman Rise) and central Great Australian Bight</w:t>
        </w:r>
      </w:hyperlink>
      <w:r w:rsidRPr="00232183">
        <w:t>. Australian Geological Survey Organ</w:t>
      </w:r>
      <w:r>
        <w:t>isation Record, 2001/08, 83 pp.</w:t>
      </w:r>
    </w:p>
    <w:p w14:paraId="4AC97074" w14:textId="61685331" w:rsidR="006326B5" w:rsidRDefault="005A16F9" w:rsidP="006326B5">
      <w:pPr>
        <w:pStyle w:val="BodyText"/>
      </w:pPr>
      <w:r>
        <w:t>HINE, A.C., FEARY, D.A. AND</w:t>
      </w:r>
      <w:r w:rsidR="006326B5" w:rsidRPr="00E95361">
        <w:t xml:space="preserve"> MALONE, M.J. </w:t>
      </w:r>
      <w:r w:rsidR="006326B5">
        <w:t>1999</w:t>
      </w:r>
      <w:r w:rsidR="006326B5" w:rsidRPr="00232183">
        <w:t>—</w:t>
      </w:r>
      <w:hyperlink r:id="rId75" w:history="1">
        <w:r w:rsidR="006326B5" w:rsidRPr="00CA4CC4">
          <w:rPr>
            <w:rStyle w:val="Hyperlink"/>
          </w:rPr>
          <w:t>Research in Great Australian Bight yields exciting early results</w:t>
        </w:r>
      </w:hyperlink>
      <w:r w:rsidR="006326B5" w:rsidRPr="00E95361">
        <w:t>. Eos, Transactions, American Geophysical Union, 80 (44), 521, 525-526.</w:t>
      </w:r>
    </w:p>
    <w:p w14:paraId="2CEBDD38" w14:textId="766C7D66" w:rsidR="006326B5" w:rsidRDefault="006326B5" w:rsidP="006326B5">
      <w:pPr>
        <w:pStyle w:val="BodyText"/>
      </w:pPr>
      <w:r w:rsidRPr="009532BD">
        <w:t>HOLFORD, S., SCHOFIELD, N., MACDONALD, J., DUDDY, I. AND GREEN, P., 2012—</w:t>
      </w:r>
      <w:hyperlink r:id="rId76" w:history="1">
        <w:r w:rsidRPr="00045CEC">
          <w:rPr>
            <w:rStyle w:val="Hyperlink"/>
          </w:rPr>
          <w:t>Seismic analysis of igneous systems in sedimentary basins and their impacts on hydrocarbon prospectivity: examples from the southern Australian margin</w:t>
        </w:r>
      </w:hyperlink>
      <w:r w:rsidRPr="009532BD">
        <w:t>. The APPEA Journal, 52, 229–252.</w:t>
      </w:r>
    </w:p>
    <w:p w14:paraId="6F928754" w14:textId="79EC2461" w:rsidR="006326B5" w:rsidRDefault="006326B5" w:rsidP="006326B5">
      <w:pPr>
        <w:pStyle w:val="BodyText"/>
      </w:pPr>
      <w:r w:rsidRPr="0060530A">
        <w:t>HUANG, Z., NICHOL, S.L., HARRIS, P.T. AND CALEY, M.J. 2014—</w:t>
      </w:r>
      <w:hyperlink r:id="rId77" w:history="1">
        <w:r w:rsidRPr="00045CEC">
          <w:rPr>
            <w:rStyle w:val="Hyperlink"/>
          </w:rPr>
          <w:t>Classification of submarine canyons of the Australian continental margin</w:t>
        </w:r>
      </w:hyperlink>
      <w:r w:rsidRPr="0060530A">
        <w:t>. Marine Geology, 357, 362-383.</w:t>
      </w:r>
    </w:p>
    <w:p w14:paraId="635EA77C" w14:textId="3E747B28" w:rsidR="006326B5" w:rsidRDefault="006326B5" w:rsidP="006326B5">
      <w:pPr>
        <w:pStyle w:val="BodyText"/>
      </w:pPr>
      <w:r w:rsidRPr="0060530A">
        <w:t>HUGHES, M.G., NICHOL, S., PRZESLAWSKI, R., TOTTERDELL, J., HEAP, A., FELLOWS, M. AND DANIELL, J. 2009—</w:t>
      </w:r>
      <w:hyperlink r:id="rId78" w:history="1">
        <w:r w:rsidRPr="00045CEC">
          <w:rPr>
            <w:rStyle w:val="Hyperlink"/>
          </w:rPr>
          <w:t>Ceduna Sub-basin: Environmental Summary</w:t>
        </w:r>
      </w:hyperlink>
      <w:r w:rsidRPr="0060530A">
        <w:t>. Geoscience Australia Record 2009/09, 139 pp.</w:t>
      </w:r>
    </w:p>
    <w:p w14:paraId="414C378F" w14:textId="61596A24" w:rsidR="006326B5" w:rsidRPr="007E3680" w:rsidRDefault="006326B5" w:rsidP="006326B5">
      <w:pPr>
        <w:pStyle w:val="BodyText"/>
      </w:pPr>
      <w:r>
        <w:t>JAMES, N.P., 1997</w:t>
      </w:r>
      <w:r w:rsidRPr="0060530A">
        <w:t>—</w:t>
      </w:r>
      <w:hyperlink r:id="rId79" w:history="1">
        <w:proofErr w:type="gramStart"/>
        <w:r w:rsidR="00045CEC" w:rsidRPr="00045CEC">
          <w:rPr>
            <w:rStyle w:val="Hyperlink"/>
          </w:rPr>
          <w:t>The</w:t>
        </w:r>
        <w:proofErr w:type="gramEnd"/>
        <w:r w:rsidRPr="00045CEC">
          <w:rPr>
            <w:rStyle w:val="Hyperlink"/>
          </w:rPr>
          <w:t xml:space="preserve"> cool-water carbonate depositional realm</w:t>
        </w:r>
      </w:hyperlink>
      <w:r w:rsidRPr="007E3680">
        <w:t xml:space="preserve">. In N.P. James and J.A.D. Clarke (Eds.), Cool-Water Carbonates. Society of Economic </w:t>
      </w:r>
      <w:proofErr w:type="spellStart"/>
      <w:r w:rsidRPr="007E3680">
        <w:t>Paleontologists</w:t>
      </w:r>
      <w:proofErr w:type="spellEnd"/>
      <w:r w:rsidRPr="007E3680">
        <w:t xml:space="preserve"> and Mineralogists, Special Publication, v. 56, p. 1-20.</w:t>
      </w:r>
    </w:p>
    <w:p w14:paraId="23FC37ED" w14:textId="77777777" w:rsidR="006326B5" w:rsidRDefault="006326B5" w:rsidP="006326B5">
      <w:pPr>
        <w:pStyle w:val="BodyText"/>
      </w:pPr>
      <w:r>
        <w:t>JAMES, N.P., 2004</w:t>
      </w:r>
      <w:r w:rsidRPr="0060530A">
        <w:t>—</w:t>
      </w:r>
      <w:proofErr w:type="gramStart"/>
      <w:r>
        <w:t>The</w:t>
      </w:r>
      <w:proofErr w:type="gramEnd"/>
      <w:r>
        <w:t xml:space="preserve"> oceanography of cool-water carbonates: southern Australia. In: Dynamic Earth; Past, Present and Future, Abstracts - Geological Society of Australia, 73, 236.</w:t>
      </w:r>
    </w:p>
    <w:p w14:paraId="1DFA43CF" w14:textId="16E57264" w:rsidR="006326B5" w:rsidRDefault="006326B5" w:rsidP="006326B5">
      <w:pPr>
        <w:pStyle w:val="BodyText"/>
      </w:pPr>
      <w:r>
        <w:t>JAMES, N. P., BONE, Y., COLLINS, L. B. AND KYSER, T. K., 2001—</w:t>
      </w:r>
      <w:hyperlink r:id="rId80" w:history="1">
        <w:proofErr w:type="gramStart"/>
        <w:r w:rsidRPr="00045CEC">
          <w:rPr>
            <w:rStyle w:val="Hyperlink"/>
          </w:rPr>
          <w:t>Surficial</w:t>
        </w:r>
        <w:proofErr w:type="gramEnd"/>
        <w:r w:rsidRPr="00045CEC">
          <w:rPr>
            <w:rStyle w:val="Hyperlink"/>
          </w:rPr>
          <w:t xml:space="preserve"> sediments of the Great Australian Bight: Facies dynamics and oceanography on a vast cool-water carbonate shelf</w:t>
        </w:r>
      </w:hyperlink>
      <w:r>
        <w:t>. Journal of Sedimentary Research, 71, 549-567.</w:t>
      </w:r>
    </w:p>
    <w:p w14:paraId="25082555" w14:textId="77B1D898" w:rsidR="006326B5" w:rsidRDefault="006326B5" w:rsidP="006326B5">
      <w:pPr>
        <w:pStyle w:val="BodyText"/>
      </w:pPr>
      <w:r>
        <w:t>JAMES, N. P., FEARY, D. A., BETZLER, C., BONE, Y., HOLBOURN, A. E., LI, Q., MACHIYAMA, H., TONI SIMO, J. A. AND SURLYK, F., 2004—</w:t>
      </w:r>
      <w:hyperlink r:id="rId81" w:history="1">
        <w:r w:rsidRPr="00045CEC">
          <w:rPr>
            <w:rStyle w:val="Hyperlink"/>
          </w:rPr>
          <w:t>Origin of late Pleistocene bryozoan reef mounds: Great Australian Bight</w:t>
        </w:r>
      </w:hyperlink>
      <w:r>
        <w:t>. Journal of Sedimentary Research, 74, 20-48.</w:t>
      </w:r>
    </w:p>
    <w:p w14:paraId="448CEC25" w14:textId="745E138B" w:rsidR="006326B5" w:rsidRDefault="006326B5" w:rsidP="006326B5">
      <w:pPr>
        <w:pStyle w:val="BodyText"/>
      </w:pPr>
      <w:r>
        <w:t>JAMES, N.P., FEARY, D.A., SURLYK, F., SIMO, J.A.T, 2000</w:t>
      </w:r>
      <w:r w:rsidRPr="0060530A">
        <w:t>—</w:t>
      </w:r>
      <w:hyperlink r:id="rId82" w:history="1">
        <w:r w:rsidRPr="00045CEC">
          <w:rPr>
            <w:rStyle w:val="Hyperlink"/>
          </w:rPr>
          <w:t>Quaternary bryozoan reef mounds in cool-water, upper slope environments: Great Australian Bight</w:t>
        </w:r>
      </w:hyperlink>
      <w:r>
        <w:t>. Geology, 28 (7), 647-650.</w:t>
      </w:r>
    </w:p>
    <w:p w14:paraId="6D4C1F1B" w14:textId="170C70D9" w:rsidR="006326B5" w:rsidRPr="009532BD" w:rsidRDefault="006326B5" w:rsidP="006326B5">
      <w:pPr>
        <w:pStyle w:val="BodyText"/>
      </w:pPr>
      <w:r>
        <w:lastRenderedPageBreak/>
        <w:t>JAMES, N.P. AND VON DER BORCH, C.C., 1991</w:t>
      </w:r>
      <w:r w:rsidRPr="0060530A">
        <w:t>—</w:t>
      </w:r>
      <w:hyperlink r:id="rId83" w:history="1">
        <w:r w:rsidRPr="00045CEC">
          <w:rPr>
            <w:rStyle w:val="Hyperlink"/>
          </w:rPr>
          <w:t>Carbonate shelf edge off southern Australia: A prograding open-platform margin</w:t>
        </w:r>
      </w:hyperlink>
      <w:r>
        <w:t>. Geology, 19, 1005-1008.</w:t>
      </w:r>
    </w:p>
    <w:p w14:paraId="1C523C95" w14:textId="5EFEDC1C" w:rsidR="006326B5" w:rsidRDefault="006326B5" w:rsidP="006326B5">
      <w:pPr>
        <w:pStyle w:val="BodyText"/>
      </w:pPr>
      <w:r>
        <w:t>K</w:t>
      </w:r>
      <w:r>
        <w:rPr>
          <w:rFonts w:cs="Arial"/>
        </w:rPr>
        <w:t>Ä</w:t>
      </w:r>
      <w:r>
        <w:t>MPF, J., 2010—</w:t>
      </w:r>
      <w:hyperlink r:id="rId84" w:history="1">
        <w:proofErr w:type="gramStart"/>
        <w:r w:rsidRPr="00045CEC">
          <w:rPr>
            <w:rStyle w:val="Hyperlink"/>
          </w:rPr>
          <w:t>On</w:t>
        </w:r>
        <w:proofErr w:type="gramEnd"/>
        <w:r w:rsidRPr="00045CEC">
          <w:rPr>
            <w:rStyle w:val="Hyperlink"/>
          </w:rPr>
          <w:t xml:space="preserve"> preconditioning of coastal upwelling in the eastern Great Australian Bight</w:t>
        </w:r>
      </w:hyperlink>
      <w:r>
        <w:t>. Journal of Geophysical Research, 115, C12071.</w:t>
      </w:r>
    </w:p>
    <w:p w14:paraId="19EAD7A7" w14:textId="601E75DA" w:rsidR="006326B5" w:rsidRDefault="006326B5" w:rsidP="006326B5">
      <w:pPr>
        <w:pStyle w:val="BodyText"/>
      </w:pPr>
      <w:r>
        <w:t>K</w:t>
      </w:r>
      <w:r>
        <w:rPr>
          <w:rFonts w:cs="Arial"/>
        </w:rPr>
        <w:t>Ä</w:t>
      </w:r>
      <w:r>
        <w:t>MPF, J. AND KAVI, A., 2017—</w:t>
      </w:r>
      <w:hyperlink r:id="rId85" w:history="1">
        <w:proofErr w:type="gramStart"/>
        <w:r w:rsidRPr="00045CEC">
          <w:rPr>
            <w:rStyle w:val="Hyperlink"/>
          </w:rPr>
          <w:t>On</w:t>
        </w:r>
        <w:proofErr w:type="gramEnd"/>
        <w:r w:rsidRPr="00045CEC">
          <w:rPr>
            <w:rStyle w:val="Hyperlink"/>
          </w:rPr>
          <w:t xml:space="preserve"> the "hidden" phytoplankton blooms on Australia's southern shelves</w:t>
        </w:r>
      </w:hyperlink>
      <w:r>
        <w:t>. Geophysical Research Letters 44, 1466-1473.</w:t>
      </w:r>
    </w:p>
    <w:p w14:paraId="55D242D7" w14:textId="06F5892C" w:rsidR="00B618DF" w:rsidRDefault="00B618DF" w:rsidP="006326B5">
      <w:pPr>
        <w:pStyle w:val="BodyText"/>
      </w:pPr>
      <w:r w:rsidRPr="00B618DF">
        <w:rPr>
          <w:caps/>
        </w:rPr>
        <w:t>Karoon Gas</w:t>
      </w:r>
      <w:r>
        <w:t xml:space="preserve">, 2019—[Webpage] </w:t>
      </w:r>
      <w:r w:rsidRPr="00B618DF">
        <w:t>Audio Webcast for 2019 Annual General Meeting</w:t>
      </w:r>
      <w:r>
        <w:t xml:space="preserve">, 29 November 2019. </w:t>
      </w:r>
      <w:hyperlink r:id="rId86" w:history="1">
        <w:r>
          <w:rPr>
            <w:rStyle w:val="Hyperlink"/>
          </w:rPr>
          <w:t>https://www.asx.com.au/asxpdf/20191128/pdf/44c2c7x8m824zk.pdf</w:t>
        </w:r>
      </w:hyperlink>
      <w:r>
        <w:t xml:space="preserve"> </w:t>
      </w:r>
      <w:r w:rsidRPr="00B618DF">
        <w:t>(</w:t>
      </w:r>
      <w:r>
        <w:t>last accessed 22 June 2020).</w:t>
      </w:r>
    </w:p>
    <w:p w14:paraId="615FEBFF" w14:textId="13C05D91" w:rsidR="006326B5" w:rsidRPr="009532BD" w:rsidRDefault="006326B5" w:rsidP="006326B5">
      <w:pPr>
        <w:pStyle w:val="BodyText"/>
      </w:pPr>
      <w:r w:rsidRPr="009532BD">
        <w:t>KEMPTON, R., BOURDET, J., GONG, S., ROSS, A. AND PIRONON, J., 2017—</w:t>
      </w:r>
      <w:hyperlink r:id="rId87" w:history="1">
        <w:r w:rsidRPr="004B5AD4">
          <w:rPr>
            <w:rStyle w:val="Hyperlink"/>
          </w:rPr>
          <w:t>Petroleum migration in the Bight Basin: a fluid inclusion approach to constraining source, composition and migration</w:t>
        </w:r>
      </w:hyperlink>
      <w:r w:rsidRPr="009532BD">
        <w:t>. The APPEA Journal, 57, 762–766.</w:t>
      </w:r>
    </w:p>
    <w:p w14:paraId="37ED76AB" w14:textId="305737B3" w:rsidR="006326B5" w:rsidRDefault="006326B5" w:rsidP="006326B5">
      <w:pPr>
        <w:pStyle w:val="BodyText"/>
      </w:pPr>
      <w:r w:rsidRPr="009532BD">
        <w:t>KING, S.J. AND MEE, B.C., 2004—</w:t>
      </w:r>
      <w:hyperlink r:id="rId88" w:history="1">
        <w:proofErr w:type="gramStart"/>
        <w:r w:rsidRPr="004B5AD4">
          <w:rPr>
            <w:rStyle w:val="Hyperlink"/>
          </w:rPr>
          <w:t>The</w:t>
        </w:r>
        <w:proofErr w:type="gramEnd"/>
        <w:r w:rsidRPr="004B5AD4">
          <w:rPr>
            <w:rStyle w:val="Hyperlink"/>
          </w:rPr>
          <w:t xml:space="preserve"> seismic stratigraphy and petroleum potential of the Late Cretaceous Ceduna Delta, Ceduna Sub-basin, Great Australian Bigh</w:t>
        </w:r>
      </w:hyperlink>
      <w:r w:rsidRPr="009532BD">
        <w:t xml:space="preserve">t. In: </w:t>
      </w:r>
      <w:proofErr w:type="spellStart"/>
      <w:r w:rsidRPr="009532BD">
        <w:t>Boult</w:t>
      </w:r>
      <w:proofErr w:type="spellEnd"/>
      <w:r w:rsidRPr="009532BD">
        <w:t>, P.J., Johns, D.R. and Lang, S.C. (</w:t>
      </w:r>
      <w:proofErr w:type="spellStart"/>
      <w:proofErr w:type="gramStart"/>
      <w:r w:rsidRPr="009532BD">
        <w:t>eds</w:t>
      </w:r>
      <w:proofErr w:type="spellEnd"/>
      <w:proofErr w:type="gramEnd"/>
      <w:r w:rsidRPr="009532BD">
        <w:t>), Eastern Australasian Basins Symposium II. Petroleum Exploration Society of Australia, Special Publication, 63–73.</w:t>
      </w:r>
    </w:p>
    <w:p w14:paraId="4FF54C3E" w14:textId="60DDA6F4" w:rsidR="00FF0D5B" w:rsidRDefault="00FF0D5B" w:rsidP="006326B5">
      <w:pPr>
        <w:pStyle w:val="BodyText"/>
      </w:pPr>
      <w:r w:rsidRPr="00FF0D5B">
        <w:t>KLAUSER-BAUMGÄRTNER, D., REICHEL, T., AND HANSEN, J.-A., 2019—</w:t>
      </w:r>
      <w:hyperlink r:id="rId89" w:history="1">
        <w:r w:rsidRPr="00FF0D5B">
          <w:rPr>
            <w:rStyle w:val="Hyperlink"/>
          </w:rPr>
          <w:t xml:space="preserve">Regional </w:t>
        </w:r>
        <w:proofErr w:type="spellStart"/>
        <w:r w:rsidRPr="00FF0D5B">
          <w:rPr>
            <w:rStyle w:val="Hyperlink"/>
          </w:rPr>
          <w:t>paleodepositional</w:t>
        </w:r>
        <w:proofErr w:type="spellEnd"/>
        <w:r w:rsidRPr="00FF0D5B">
          <w:rPr>
            <w:rStyle w:val="Hyperlink"/>
          </w:rPr>
          <w:t xml:space="preserve"> environment of the Cretaceous in the Great Australian Bight – a support for frontier exploration</w:t>
        </w:r>
      </w:hyperlink>
      <w:r w:rsidRPr="00FF0D5B">
        <w:t>. The APPEA Journal, 59(2), 891-895.</w:t>
      </w:r>
    </w:p>
    <w:p w14:paraId="2BEE6094" w14:textId="4F8F852F" w:rsidR="006326B5" w:rsidRPr="009532BD" w:rsidRDefault="006326B5" w:rsidP="006326B5">
      <w:pPr>
        <w:pStyle w:val="BodyText"/>
      </w:pPr>
      <w:r w:rsidRPr="001C24C0">
        <w:t>KLOSER, R.</w:t>
      </w:r>
      <w:r>
        <w:t xml:space="preserve"> AND</w:t>
      </w:r>
      <w:r w:rsidRPr="001C24C0">
        <w:t xml:space="preserve"> VAN RUTH, P., 2017</w:t>
      </w:r>
      <w:r w:rsidRPr="009532BD">
        <w:t>—</w:t>
      </w:r>
      <w:hyperlink r:id="rId90" w:history="1">
        <w:r w:rsidRPr="00F17FB9">
          <w:rPr>
            <w:rStyle w:val="Hyperlink"/>
          </w:rPr>
          <w:t>Theme 2: Pelagic Ecosystem and Environmental Drivers. Great Australian Bight Research Program</w:t>
        </w:r>
      </w:hyperlink>
      <w:r w:rsidRPr="001C24C0">
        <w:t xml:space="preserve">, </w:t>
      </w:r>
      <w:r w:rsidRPr="00F03295">
        <w:t>GABRP Researc</w:t>
      </w:r>
      <w:r w:rsidR="004B5AD4">
        <w:t>h Report Series Number 32</w:t>
      </w:r>
      <w:r>
        <w:t xml:space="preserve">, </w:t>
      </w:r>
      <w:r w:rsidRPr="001C24C0">
        <w:t>21</w:t>
      </w:r>
      <w:r>
        <w:t xml:space="preserve"> pp</w:t>
      </w:r>
      <w:r w:rsidRPr="001C24C0">
        <w:t>.</w:t>
      </w:r>
    </w:p>
    <w:p w14:paraId="72FBDB2A" w14:textId="07F319F4" w:rsidR="006326B5" w:rsidRPr="009532BD" w:rsidRDefault="006326B5" w:rsidP="006326B5">
      <w:pPr>
        <w:pStyle w:val="BodyText"/>
      </w:pPr>
      <w:r w:rsidRPr="009532BD">
        <w:t>KRASSAY, A.A. AND TOTTERDELL, J.M., 2003—</w:t>
      </w:r>
      <w:hyperlink r:id="rId91" w:history="1">
        <w:r w:rsidRPr="00464690">
          <w:rPr>
            <w:rStyle w:val="Hyperlink"/>
          </w:rPr>
          <w:t>Seismic stratigraphy of a large, Cretaceous shelf-margin delta complex, offshore southern Australia.</w:t>
        </w:r>
      </w:hyperlink>
      <w:r w:rsidRPr="009532BD">
        <w:t xml:space="preserve"> AAPG Bulletin, 87, 935–963.</w:t>
      </w:r>
    </w:p>
    <w:p w14:paraId="4313CC73" w14:textId="74CD05EE" w:rsidR="006326B5" w:rsidRDefault="006326B5" w:rsidP="006326B5">
      <w:pPr>
        <w:pStyle w:val="BodyText"/>
      </w:pPr>
      <w:r w:rsidRPr="009532BD">
        <w:t>LANGHI, L., STRAND, J. AND ROSS, A.S., 2016—</w:t>
      </w:r>
      <w:hyperlink r:id="rId92" w:history="1">
        <w:r w:rsidRPr="00F17FB9">
          <w:rPr>
            <w:rStyle w:val="Hyperlink"/>
          </w:rPr>
          <w:t>Fault-related biogenic mounds in the Ceduna Sub-basin, Australia: implications for hydrocarbon migration</w:t>
        </w:r>
      </w:hyperlink>
      <w:r w:rsidRPr="009532BD">
        <w:t>. Marine and Petroleum Geology, 74, 47–58.</w:t>
      </w:r>
    </w:p>
    <w:p w14:paraId="69972AB9" w14:textId="7D7FE5FC" w:rsidR="006326B5" w:rsidRPr="009532BD" w:rsidRDefault="006326B5" w:rsidP="006326B5">
      <w:pPr>
        <w:pStyle w:val="BodyText"/>
      </w:pPr>
      <w:r w:rsidRPr="00AC21CB">
        <w:t xml:space="preserve">LI, Q., JAMES, N.P., BONE, Y. </w:t>
      </w:r>
      <w:r>
        <w:t>AND</w:t>
      </w:r>
      <w:r w:rsidRPr="00AC21CB">
        <w:t xml:space="preserve"> MCGOWRAN, B., 1999</w:t>
      </w:r>
      <w:r w:rsidRPr="009532BD">
        <w:t>—</w:t>
      </w:r>
      <w:proofErr w:type="spellStart"/>
      <w:r w:rsidR="00274BF9">
        <w:fldChar w:fldCharType="begin"/>
      </w:r>
      <w:r w:rsidR="00274BF9">
        <w:instrText xml:space="preserve"> HYPERLINK "https://doi.org/10.1016/S0031-0182(98)00150-3" </w:instrText>
      </w:r>
      <w:r w:rsidR="00274BF9">
        <w:fldChar w:fldCharType="separate"/>
      </w:r>
      <w:r w:rsidRPr="00F17FB9">
        <w:rPr>
          <w:rStyle w:val="Hyperlink"/>
        </w:rPr>
        <w:t>Palaeoceanographic</w:t>
      </w:r>
      <w:proofErr w:type="spellEnd"/>
      <w:r w:rsidRPr="00F17FB9">
        <w:rPr>
          <w:rStyle w:val="Hyperlink"/>
        </w:rPr>
        <w:t xml:space="preserve"> significance of Recent foraminiferal </w:t>
      </w:r>
      <w:proofErr w:type="spellStart"/>
      <w:r w:rsidRPr="00F17FB9">
        <w:rPr>
          <w:rStyle w:val="Hyperlink"/>
        </w:rPr>
        <w:t>biofacies</w:t>
      </w:r>
      <w:proofErr w:type="spellEnd"/>
      <w:r w:rsidRPr="00F17FB9">
        <w:rPr>
          <w:rStyle w:val="Hyperlink"/>
        </w:rPr>
        <w:t xml:space="preserve"> on the southern shelf of Western Australia; a preliminary study</w:t>
      </w:r>
      <w:r w:rsidR="00274BF9">
        <w:rPr>
          <w:rStyle w:val="Hyperlink"/>
        </w:rPr>
        <w:fldChar w:fldCharType="end"/>
      </w:r>
      <w:r w:rsidRPr="00AC21CB">
        <w:t xml:space="preserve">. Palaeogeography, </w:t>
      </w:r>
      <w:proofErr w:type="spellStart"/>
      <w:r w:rsidRPr="00AC21CB">
        <w:t>Palaeoclimatology</w:t>
      </w:r>
      <w:proofErr w:type="spellEnd"/>
      <w:r w:rsidRPr="00AC21CB">
        <w:t>, Palaeoecology, 147 (1-2), 101</w:t>
      </w:r>
      <w:r w:rsidRPr="009532BD">
        <w:t>–</w:t>
      </w:r>
      <w:r w:rsidRPr="00AC21CB">
        <w:t>120.</w:t>
      </w:r>
    </w:p>
    <w:p w14:paraId="674ED7F7" w14:textId="5609BF7B" w:rsidR="006326B5" w:rsidRDefault="006326B5" w:rsidP="006326B5">
      <w:pPr>
        <w:pStyle w:val="BodyText"/>
      </w:pPr>
      <w:r w:rsidRPr="009532BD">
        <w:t>MACDONALD, J.D., HOLFORD, S.P., GREEN, P.F., DUDDY, I.R., KING, R.C. AND BACKE, G., 2013—</w:t>
      </w:r>
      <w:hyperlink r:id="rId93" w:history="1">
        <w:r w:rsidRPr="00F17FB9">
          <w:rPr>
            <w:rStyle w:val="Hyperlink"/>
          </w:rPr>
          <w:t>Detrital zircon data reveal the origin of Australia’s largest delta system</w:t>
        </w:r>
      </w:hyperlink>
      <w:r w:rsidRPr="009532BD">
        <w:t>. Journal of the Geological Society, 170, 3–6.</w:t>
      </w:r>
    </w:p>
    <w:p w14:paraId="56C019FD" w14:textId="3EE8352A" w:rsidR="006326B5" w:rsidRDefault="006326B5" w:rsidP="006326B5">
      <w:pPr>
        <w:pStyle w:val="BodyText"/>
      </w:pPr>
      <w:r w:rsidRPr="00F06E9B">
        <w:t>MCLEAY, L.J., SOROKIN, S.J., ROGERS, P.J. AND WARD, T.M., 2003—</w:t>
      </w:r>
      <w:hyperlink r:id="rId94" w:history="1">
        <w:r w:rsidRPr="00F17FB9">
          <w:rPr>
            <w:rStyle w:val="Hyperlink"/>
          </w:rPr>
          <w:t>Benthic Protection Zone of the Great Australian Bight Marine Park: 1. Literature Review.</w:t>
        </w:r>
      </w:hyperlink>
      <w:r w:rsidRPr="00F06E9B">
        <w:t xml:space="preserve"> South Australia Research and Development Institute (Aquatic Sciences), Henley Beach.</w:t>
      </w:r>
    </w:p>
    <w:p w14:paraId="22B1D109" w14:textId="715C2FDF" w:rsidR="006326B5" w:rsidRDefault="006326B5" w:rsidP="006326B5">
      <w:pPr>
        <w:pStyle w:val="BodyText"/>
      </w:pPr>
      <w:r>
        <w:t>MIDDLETON, J.F. AND BYE, J.A., 2007</w:t>
      </w:r>
      <w:r w:rsidRPr="00F06E9B">
        <w:t>—</w:t>
      </w:r>
      <w:hyperlink r:id="rId95" w:history="1">
        <w:proofErr w:type="gramStart"/>
        <w:r w:rsidRPr="00F17FB9">
          <w:rPr>
            <w:rStyle w:val="Hyperlink"/>
          </w:rPr>
          <w:t>A</w:t>
        </w:r>
        <w:proofErr w:type="gramEnd"/>
        <w:r w:rsidRPr="00F17FB9">
          <w:rPr>
            <w:rStyle w:val="Hyperlink"/>
          </w:rPr>
          <w:t xml:space="preserve"> review of the shelf-slope circulation along Australia’s southern shelves</w:t>
        </w:r>
      </w:hyperlink>
      <w:r>
        <w:t xml:space="preserve">: Cape Leeuwin to Portland. Progress in Oceanography, 75(1), 1-41. </w:t>
      </w:r>
    </w:p>
    <w:p w14:paraId="6FBAE1D0" w14:textId="77777777" w:rsidR="00F17FB9" w:rsidRDefault="006326B5" w:rsidP="006326B5">
      <w:pPr>
        <w:pStyle w:val="BodyText"/>
      </w:pPr>
      <w:r>
        <w:t>MIDDLETON, J.F. AND CIRANO, M., 2002</w:t>
      </w:r>
      <w:r w:rsidRPr="00F06E9B">
        <w:t>—</w:t>
      </w:r>
      <w:hyperlink r:id="rId96" w:history="1">
        <w:proofErr w:type="gramStart"/>
        <w:r w:rsidRPr="00F17FB9">
          <w:rPr>
            <w:rStyle w:val="Hyperlink"/>
          </w:rPr>
          <w:t>A</w:t>
        </w:r>
        <w:proofErr w:type="gramEnd"/>
        <w:r w:rsidRPr="00F17FB9">
          <w:rPr>
            <w:rStyle w:val="Hyperlink"/>
          </w:rPr>
          <w:t xml:space="preserve"> northern boundary current along Australia's southern shelves: The Flinders Current. Journal of Geophysical Research</w:t>
        </w:r>
      </w:hyperlink>
      <w:r>
        <w:t xml:space="preserve">: Oceans, 107(C9). </w:t>
      </w:r>
    </w:p>
    <w:p w14:paraId="7968E0E2" w14:textId="27061505" w:rsidR="006326B5" w:rsidRDefault="006326B5" w:rsidP="006326B5">
      <w:pPr>
        <w:pStyle w:val="BodyText"/>
      </w:pPr>
      <w:r w:rsidRPr="009532BD">
        <w:t>NORVICK, M.S. AND SMITH, M.A., 2001—</w:t>
      </w:r>
      <w:hyperlink r:id="rId97" w:history="1">
        <w:proofErr w:type="gramStart"/>
        <w:r w:rsidRPr="008C5FE1">
          <w:rPr>
            <w:rStyle w:val="Hyperlink"/>
          </w:rPr>
          <w:t>Mapping</w:t>
        </w:r>
        <w:proofErr w:type="gramEnd"/>
        <w:r w:rsidRPr="008C5FE1">
          <w:rPr>
            <w:rStyle w:val="Hyperlink"/>
          </w:rPr>
          <w:t xml:space="preserve"> the plate tectonic reconstruction of southern and </w:t>
        </w:r>
        <w:proofErr w:type="spellStart"/>
        <w:r w:rsidRPr="008C5FE1">
          <w:rPr>
            <w:rStyle w:val="Hyperlink"/>
          </w:rPr>
          <w:t>southeastern</w:t>
        </w:r>
        <w:proofErr w:type="spellEnd"/>
        <w:r w:rsidRPr="008C5FE1">
          <w:rPr>
            <w:rStyle w:val="Hyperlink"/>
          </w:rPr>
          <w:t xml:space="preserve"> Australia and implications for petroleum systems</w:t>
        </w:r>
      </w:hyperlink>
      <w:r w:rsidRPr="009532BD">
        <w:t xml:space="preserve">. The APPEA Journal, 41(1), 15–35. </w:t>
      </w:r>
    </w:p>
    <w:p w14:paraId="47883277" w14:textId="3FCB3F63" w:rsidR="006326B5" w:rsidRPr="009532BD" w:rsidRDefault="006326B5" w:rsidP="006326B5">
      <w:pPr>
        <w:pStyle w:val="BodyText"/>
      </w:pPr>
      <w:r w:rsidRPr="00D436E5">
        <w:t>OGG, J.G., OGG, G.M. AND GRADSTEIN, F.M., 2016—</w:t>
      </w:r>
      <w:hyperlink r:id="rId98" w:history="1">
        <w:r w:rsidRPr="008C5FE1">
          <w:rPr>
            <w:rStyle w:val="Hyperlink"/>
          </w:rPr>
          <w:t>A Concise Geologic Time Scale 2016</w:t>
        </w:r>
      </w:hyperlink>
      <w:r w:rsidRPr="00D436E5">
        <w:t>. Elsevier</w:t>
      </w:r>
      <w:r>
        <w:t xml:space="preserve">, </w:t>
      </w:r>
      <w:r w:rsidRPr="00D436E5">
        <w:t>Oxford</w:t>
      </w:r>
      <w:r>
        <w:t>,</w:t>
      </w:r>
      <w:r w:rsidRPr="00D436E5">
        <w:t xml:space="preserve"> 234 pp.</w:t>
      </w:r>
    </w:p>
    <w:p w14:paraId="4F04DC84" w14:textId="57270B8A" w:rsidR="006326B5" w:rsidRPr="009532BD" w:rsidRDefault="006326B5" w:rsidP="006326B5">
      <w:pPr>
        <w:pStyle w:val="BodyText"/>
        <w:rPr>
          <w:rStyle w:val="Hyperlink"/>
          <w:highlight w:val="lightGray"/>
        </w:rPr>
      </w:pPr>
      <w:r w:rsidRPr="009532BD">
        <w:t>O’NEIL, B.J., 2003—</w:t>
      </w:r>
      <w:hyperlink r:id="rId99" w:history="1">
        <w:r w:rsidRPr="00823D29">
          <w:rPr>
            <w:rStyle w:val="Hyperlink"/>
          </w:rPr>
          <w:t>History of Petroleum Exploration</w:t>
        </w:r>
      </w:hyperlink>
      <w:r w:rsidRPr="00823D29">
        <w:t xml:space="preserve">. In: O’Brien, G.W., </w:t>
      </w:r>
      <w:proofErr w:type="spellStart"/>
      <w:r w:rsidRPr="00823D29">
        <w:t>Paraschivoiu</w:t>
      </w:r>
      <w:proofErr w:type="spellEnd"/>
      <w:r w:rsidRPr="00823D29">
        <w:t xml:space="preserve">, E. and </w:t>
      </w:r>
      <w:proofErr w:type="spellStart"/>
      <w:r w:rsidRPr="00823D29">
        <w:t>Hibburt</w:t>
      </w:r>
      <w:proofErr w:type="spellEnd"/>
      <w:r w:rsidRPr="00823D29">
        <w:t>, J.E. (</w:t>
      </w:r>
      <w:proofErr w:type="spellStart"/>
      <w:proofErr w:type="gramStart"/>
      <w:r w:rsidRPr="00823D29">
        <w:t>eds</w:t>
      </w:r>
      <w:proofErr w:type="spellEnd"/>
      <w:proofErr w:type="gramEnd"/>
      <w:r w:rsidRPr="00823D29">
        <w:t xml:space="preserve">), </w:t>
      </w:r>
      <w:hyperlink r:id="rId100" w:history="1">
        <w:r w:rsidRPr="00823D29">
          <w:rPr>
            <w:rStyle w:val="Hyperlink"/>
          </w:rPr>
          <w:t>Petroleum Geology of South Australia</w:t>
        </w:r>
      </w:hyperlink>
      <w:r w:rsidRPr="00823D29">
        <w:t>, Vol. 5: Great Australian Bight.</w:t>
      </w:r>
      <w:r w:rsidRPr="009532BD">
        <w:t xml:space="preserve"> </w:t>
      </w:r>
    </w:p>
    <w:p w14:paraId="088C9344" w14:textId="2AE8B68D" w:rsidR="006326B5" w:rsidRPr="009532BD" w:rsidRDefault="006326B5" w:rsidP="006326B5">
      <w:pPr>
        <w:pStyle w:val="BodyText"/>
      </w:pPr>
      <w:r w:rsidRPr="009532BD">
        <w:t>RAJESWARAN, D. AND PRZYWARA, M., 2017—</w:t>
      </w:r>
      <w:hyperlink r:id="rId101" w:history="1">
        <w:r w:rsidRPr="008C5FE1">
          <w:rPr>
            <w:rStyle w:val="Hyperlink"/>
          </w:rPr>
          <w:t>The Great Australian Bight – from AVO prospectivity screening to potentially drillable targets in one of the world’s remaining untapped basins</w:t>
        </w:r>
      </w:hyperlink>
      <w:r w:rsidRPr="009532BD">
        <w:t>. The APPEA Journal, 57, 793–797.</w:t>
      </w:r>
    </w:p>
    <w:p w14:paraId="13FA4CFB" w14:textId="10C947E8" w:rsidR="006326B5" w:rsidRDefault="006326B5" w:rsidP="006326B5">
      <w:pPr>
        <w:pStyle w:val="BodyText"/>
      </w:pPr>
      <w:r w:rsidRPr="009532BD">
        <w:t>REYNOLDS, P., HOLFORD, S., SCHOFIELD, N. AND ROSS, A., 2017—</w:t>
      </w:r>
      <w:hyperlink r:id="rId102" w:history="1">
        <w:proofErr w:type="gramStart"/>
        <w:r w:rsidRPr="008C5FE1">
          <w:rPr>
            <w:rStyle w:val="Hyperlink"/>
          </w:rPr>
          <w:t>The</w:t>
        </w:r>
        <w:proofErr w:type="gramEnd"/>
        <w:r w:rsidRPr="008C5FE1">
          <w:rPr>
            <w:rStyle w:val="Hyperlink"/>
          </w:rPr>
          <w:t xml:space="preserve"> shallow depth emplacement of mafic intrusions on a magma-poor rifted margin: an example from the Bight Basin, southern Australia</w:t>
        </w:r>
      </w:hyperlink>
      <w:r w:rsidRPr="009532BD">
        <w:t>. Marine and Petroleum Geology, 88, 605–616.</w:t>
      </w:r>
    </w:p>
    <w:p w14:paraId="0467F248" w14:textId="5207BC37" w:rsidR="006326B5" w:rsidRDefault="006326B5" w:rsidP="006326B5">
      <w:pPr>
        <w:pStyle w:val="BodyText"/>
      </w:pPr>
      <w:r w:rsidRPr="006F2E98">
        <w:lastRenderedPageBreak/>
        <w:t>RICHARDSON,</w:t>
      </w:r>
      <w:r>
        <w:t xml:space="preserve"> L., MATTHEWS, E. AND HEAP, A., </w:t>
      </w:r>
      <w:r w:rsidRPr="006F2E98">
        <w:t>2005</w:t>
      </w:r>
      <w:r w:rsidRPr="009532BD">
        <w:t>—</w:t>
      </w:r>
      <w:hyperlink r:id="rId103" w:history="1">
        <w:r w:rsidRPr="008C5FE1">
          <w:rPr>
            <w:rStyle w:val="Hyperlink"/>
          </w:rPr>
          <w:t>Geomorphology and Sedimentology of the South Western Planning Area of Australia: review and synthesis of relevant literature in support of Regional Marine Planning</w:t>
        </w:r>
      </w:hyperlink>
      <w:r w:rsidRPr="006F2E98">
        <w:t>. Geoscience Australia, Record 2005/17. 124pp</w:t>
      </w:r>
      <w:r>
        <w:t>.</w:t>
      </w:r>
    </w:p>
    <w:p w14:paraId="22C6775E" w14:textId="4C02285A" w:rsidR="006326B5" w:rsidRDefault="006326B5" w:rsidP="006326B5">
      <w:pPr>
        <w:pStyle w:val="BodyText"/>
      </w:pPr>
      <w:r w:rsidRPr="006F2FA8">
        <w:t xml:space="preserve">RIDGEWAY, K.R. </w:t>
      </w:r>
      <w:r>
        <w:t>AND</w:t>
      </w:r>
      <w:r w:rsidRPr="006F2FA8">
        <w:t xml:space="preserve"> CONDIE, S.A., 2004</w:t>
      </w:r>
      <w:r w:rsidRPr="009532BD">
        <w:t>—</w:t>
      </w:r>
      <w:hyperlink r:id="rId104" w:history="1">
        <w:proofErr w:type="gramStart"/>
        <w:r w:rsidRPr="008C5FE1">
          <w:rPr>
            <w:rStyle w:val="Hyperlink"/>
          </w:rPr>
          <w:t>The</w:t>
        </w:r>
        <w:proofErr w:type="gramEnd"/>
        <w:r w:rsidRPr="008C5FE1">
          <w:rPr>
            <w:rStyle w:val="Hyperlink"/>
          </w:rPr>
          <w:t xml:space="preserve"> 5500-km-long boundary flow off western and southern Australia</w:t>
        </w:r>
      </w:hyperlink>
      <w:r w:rsidRPr="006F2FA8">
        <w:t>. Journal of Geophysical Research C: Oceans, 109 (4), C04017, 1</w:t>
      </w:r>
      <w:r w:rsidRPr="009532BD">
        <w:t>–</w:t>
      </w:r>
      <w:r w:rsidRPr="006F2FA8">
        <w:t>18.</w:t>
      </w:r>
    </w:p>
    <w:p w14:paraId="32DE285E" w14:textId="786BF39C" w:rsidR="006326B5" w:rsidRDefault="006326B5" w:rsidP="006326B5">
      <w:pPr>
        <w:pStyle w:val="BodyText"/>
      </w:pPr>
      <w:r w:rsidRPr="00FF23AE">
        <w:t>ROGERS, P.J., HUVENEERS, C., PAGE, B., GOLDSWORTHY, S.D., COYNE, M., LOWTHER, A.D., MITCHELL, J</w:t>
      </w:r>
      <w:r>
        <w:t>.G. AND</w:t>
      </w:r>
      <w:r w:rsidRPr="00FF23AE">
        <w:t xml:space="preserve"> SEURONT, L., 2015</w:t>
      </w:r>
      <w:r w:rsidRPr="009532BD">
        <w:t>—</w:t>
      </w:r>
      <w:hyperlink r:id="rId105" w:history="1">
        <w:r w:rsidRPr="008C5FE1">
          <w:rPr>
            <w:rStyle w:val="Hyperlink"/>
          </w:rPr>
          <w:t xml:space="preserve">Living on the continental shelf edge: habitat use of juvenile shortfin </w:t>
        </w:r>
        <w:proofErr w:type="spellStart"/>
        <w:r w:rsidRPr="008C5FE1">
          <w:rPr>
            <w:rStyle w:val="Hyperlink"/>
          </w:rPr>
          <w:t>mako</w:t>
        </w:r>
        <w:proofErr w:type="spellEnd"/>
        <w:r w:rsidRPr="008C5FE1">
          <w:rPr>
            <w:rStyle w:val="Hyperlink"/>
          </w:rPr>
          <w:t xml:space="preserve"> </w:t>
        </w:r>
        <w:proofErr w:type="spellStart"/>
        <w:r w:rsidRPr="008C5FE1">
          <w:rPr>
            <w:rStyle w:val="Hyperlink"/>
          </w:rPr>
          <w:t>Isurus</w:t>
        </w:r>
        <w:proofErr w:type="spellEnd"/>
        <w:r w:rsidRPr="008C5FE1">
          <w:rPr>
            <w:rStyle w:val="Hyperlink"/>
          </w:rPr>
          <w:t xml:space="preserve"> </w:t>
        </w:r>
        <w:proofErr w:type="spellStart"/>
        <w:r w:rsidRPr="008C5FE1">
          <w:rPr>
            <w:rStyle w:val="Hyperlink"/>
          </w:rPr>
          <w:t>oxyrinchus</w:t>
        </w:r>
        <w:proofErr w:type="spellEnd"/>
        <w:r w:rsidRPr="008C5FE1">
          <w:rPr>
            <w:rStyle w:val="Hyperlink"/>
          </w:rPr>
          <w:t xml:space="preserve"> in the Great Australian Bight, southern Australia</w:t>
        </w:r>
      </w:hyperlink>
      <w:r w:rsidRPr="00FF23AE">
        <w:t>. Fisheries Oceanography 24, 205-218.</w:t>
      </w:r>
    </w:p>
    <w:p w14:paraId="0FBF621D" w14:textId="53BF0EF9" w:rsidR="006326B5" w:rsidRPr="009532BD" w:rsidRDefault="006326B5" w:rsidP="006326B5">
      <w:pPr>
        <w:pStyle w:val="BodyText"/>
      </w:pPr>
      <w:r>
        <w:t xml:space="preserve">ROSS, A AND KEMPTON, R., </w:t>
      </w:r>
      <w:r w:rsidRPr="00106552">
        <w:t>2017</w:t>
      </w:r>
      <w:r w:rsidRPr="009532BD">
        <w:t>—</w:t>
      </w:r>
      <w:hyperlink r:id="rId106" w:history="1">
        <w:r w:rsidRPr="008C5FE1">
          <w:rPr>
            <w:rStyle w:val="Hyperlink"/>
          </w:rPr>
          <w:t>Theme 5: Petroleum Geochemistry of the Great Australian Bight. Theme Report</w:t>
        </w:r>
      </w:hyperlink>
      <w:r w:rsidRPr="00106552">
        <w:t>. Great Australian Bight Research Program, GABRP Research Report Series Number 38, 25pp.</w:t>
      </w:r>
    </w:p>
    <w:p w14:paraId="3C239C59" w14:textId="77777777" w:rsidR="006326B5" w:rsidRPr="009532BD" w:rsidRDefault="006326B5" w:rsidP="006326B5">
      <w:pPr>
        <w:pStyle w:val="BodyText"/>
      </w:pPr>
      <w:r w:rsidRPr="009532BD">
        <w:t xml:space="preserve">RUBLE, T.E., LOGAN, G.A., BLEVIN, J.E., STRUCKMEYER, H.I.M., LIU, K., AHMED, M., EADINGTON, P. AND QUEZADA, R.A., 2001—Geochemistry and charge history of a </w:t>
      </w:r>
      <w:proofErr w:type="spellStart"/>
      <w:r w:rsidRPr="009532BD">
        <w:t>palaeo</w:t>
      </w:r>
      <w:proofErr w:type="spellEnd"/>
      <w:r w:rsidRPr="009532BD">
        <w:t xml:space="preserve">-oil column: Jerboa-1, Eyre Sub-basin, </w:t>
      </w:r>
      <w:proofErr w:type="gramStart"/>
      <w:r w:rsidRPr="009532BD">
        <w:t>Great</w:t>
      </w:r>
      <w:proofErr w:type="gramEnd"/>
      <w:r w:rsidRPr="009532BD">
        <w:t xml:space="preserve"> Australian Bight. In: Hill, K.C. and Bernecker, T. (</w:t>
      </w:r>
      <w:proofErr w:type="spellStart"/>
      <w:proofErr w:type="gramStart"/>
      <w:r w:rsidRPr="009532BD">
        <w:t>eds</w:t>
      </w:r>
      <w:proofErr w:type="spellEnd"/>
      <w:proofErr w:type="gramEnd"/>
      <w:r w:rsidRPr="009532BD">
        <w:t>), Eastern Australasian Basins Symposium: A Refocused Energy Perspective for the Future. Petroleum Exploration Society of Australia, Special Publication, 521–530.</w:t>
      </w:r>
    </w:p>
    <w:p w14:paraId="3D31C372" w14:textId="2EABE806" w:rsidR="006326B5" w:rsidRPr="009532BD" w:rsidRDefault="006326B5" w:rsidP="006326B5">
      <w:pPr>
        <w:pStyle w:val="BodyText"/>
      </w:pPr>
      <w:r w:rsidRPr="009532BD">
        <w:t xml:space="preserve">RYAN, D.J., BRADSHAW, B.E. AND BOREHAM, C.J., 2005—Petroleum Prospectivity. In: Bradshaw, B.E. (compiler), </w:t>
      </w:r>
      <w:hyperlink r:id="rId107" w:history="1">
        <w:r w:rsidRPr="00715795">
          <w:rPr>
            <w:rStyle w:val="Hyperlink"/>
          </w:rPr>
          <w:t xml:space="preserve">Geology and petroleum prospectivity of the Bremer Sub-basin, offshore </w:t>
        </w:r>
        <w:proofErr w:type="spellStart"/>
        <w:r w:rsidRPr="00715795">
          <w:rPr>
            <w:rStyle w:val="Hyperlink"/>
          </w:rPr>
          <w:t>southwestern</w:t>
        </w:r>
        <w:proofErr w:type="spellEnd"/>
        <w:r w:rsidRPr="00715795">
          <w:rPr>
            <w:rStyle w:val="Hyperlink"/>
          </w:rPr>
          <w:t xml:space="preserve"> Australia</w:t>
        </w:r>
      </w:hyperlink>
      <w:r w:rsidRPr="009532BD">
        <w:t>. Geoscience Australia Record, 2005/21, 76–110.</w:t>
      </w:r>
    </w:p>
    <w:p w14:paraId="3923C056" w14:textId="33EE7501" w:rsidR="006326B5" w:rsidRDefault="006326B5" w:rsidP="006326B5">
      <w:pPr>
        <w:pStyle w:val="BodyText"/>
      </w:pPr>
      <w:r w:rsidRPr="009532BD">
        <w:t>SAYERS, J., SYMONDS, P., DIREEN, N.G. AND BERNARDEL, G., 2001—</w:t>
      </w:r>
      <w:hyperlink r:id="rId108" w:history="1">
        <w:r w:rsidRPr="00CE2C1E">
          <w:rPr>
            <w:rStyle w:val="Hyperlink"/>
          </w:rPr>
          <w:t>Nature of the continent–ocean transition on the non-volcanic rifted margin of the central Great Australian Bight</w:t>
        </w:r>
      </w:hyperlink>
      <w:r w:rsidRPr="009532BD">
        <w:t xml:space="preserve">. In: Wilson, R.C.L., </w:t>
      </w:r>
      <w:proofErr w:type="spellStart"/>
      <w:r w:rsidRPr="009532BD">
        <w:t>Whitmarsh</w:t>
      </w:r>
      <w:proofErr w:type="spellEnd"/>
      <w:r w:rsidRPr="009532BD">
        <w:t xml:space="preserve">, R.B., Taylor, B. and </w:t>
      </w:r>
      <w:proofErr w:type="spellStart"/>
      <w:r w:rsidRPr="009532BD">
        <w:t>Froitzheim</w:t>
      </w:r>
      <w:proofErr w:type="spellEnd"/>
      <w:r w:rsidRPr="009532BD">
        <w:t>, N. (</w:t>
      </w:r>
      <w:proofErr w:type="spellStart"/>
      <w:proofErr w:type="gramStart"/>
      <w:r w:rsidRPr="009532BD">
        <w:t>eds</w:t>
      </w:r>
      <w:proofErr w:type="spellEnd"/>
      <w:proofErr w:type="gramEnd"/>
      <w:r w:rsidRPr="009532BD">
        <w:t>), Non-volcanic Rifting of Continental Margins: A Comparison of Evidence from Land and Sea. Geological Society, London, Special Publications 187, 51–77.</w:t>
      </w:r>
    </w:p>
    <w:p w14:paraId="2B966781" w14:textId="1DC4BF62" w:rsidR="006326B5" w:rsidRDefault="006326B5" w:rsidP="006326B5">
      <w:pPr>
        <w:pStyle w:val="BodyText"/>
      </w:pPr>
      <w:r w:rsidRPr="00DF32A8">
        <w:t>SCHOFIELD</w:t>
      </w:r>
      <w:r>
        <w:t>,</w:t>
      </w:r>
      <w:r w:rsidRPr="00DF32A8">
        <w:t xml:space="preserve"> A. </w:t>
      </w:r>
      <w:r>
        <w:t>AND</w:t>
      </w:r>
      <w:r w:rsidRPr="00DF32A8">
        <w:t xml:space="preserve"> TOTTERDELL</w:t>
      </w:r>
      <w:r>
        <w:t>,</w:t>
      </w:r>
      <w:r w:rsidRPr="00DF32A8">
        <w:t xml:space="preserve"> J.M., 2008. </w:t>
      </w:r>
      <w:hyperlink r:id="rId109" w:history="1">
        <w:r w:rsidRPr="00CE2C1E">
          <w:rPr>
            <w:rStyle w:val="Hyperlink"/>
          </w:rPr>
          <w:t>Distribution, timing and origin of magmatism in the Bight and Eucla basins</w:t>
        </w:r>
      </w:hyperlink>
      <w:r w:rsidRPr="00DF32A8">
        <w:t>. Geoscience Australia, Record, 2008/24.</w:t>
      </w:r>
    </w:p>
    <w:p w14:paraId="440D858C" w14:textId="40CB1CFE" w:rsidR="006326B5" w:rsidRDefault="006326B5" w:rsidP="006326B5">
      <w:pPr>
        <w:pStyle w:val="BodyText"/>
      </w:pPr>
      <w:r w:rsidRPr="009532BD">
        <w:t>SMITH, M.A. AND DONALDSON, I.F., 1995—</w:t>
      </w:r>
      <w:hyperlink r:id="rId110" w:history="1">
        <w:proofErr w:type="gramStart"/>
        <w:r w:rsidRPr="00CE2C1E">
          <w:rPr>
            <w:rStyle w:val="Hyperlink"/>
          </w:rPr>
          <w:t>The</w:t>
        </w:r>
        <w:proofErr w:type="gramEnd"/>
        <w:r w:rsidRPr="00CE2C1E">
          <w:rPr>
            <w:rStyle w:val="Hyperlink"/>
          </w:rPr>
          <w:t xml:space="preserve"> hydrocarbon potential of the Duntroon Basin</w:t>
        </w:r>
      </w:hyperlink>
      <w:r w:rsidRPr="009532BD">
        <w:t>. The APEA Journal, 35(1), 203–219.</w:t>
      </w:r>
    </w:p>
    <w:p w14:paraId="55C922DA" w14:textId="5637F902" w:rsidR="006326B5" w:rsidRPr="009532BD" w:rsidRDefault="006326B5" w:rsidP="006326B5">
      <w:pPr>
        <w:pStyle w:val="BodyText"/>
      </w:pPr>
      <w:r w:rsidRPr="003B3492">
        <w:t>SOROKIN, S.J., FROMONT, J. AND CURRIE, D., 2007—</w:t>
      </w:r>
      <w:hyperlink r:id="rId111" w:history="1">
        <w:r w:rsidRPr="00CE2C1E">
          <w:rPr>
            <w:rStyle w:val="Hyperlink"/>
          </w:rPr>
          <w:t>Demosponge biodiversity in the benthic protection zone of the Great Australian Bight. Transactions of the Royal Society of South Australia</w:t>
        </w:r>
      </w:hyperlink>
      <w:r w:rsidRPr="003B3492">
        <w:t>, 132, 192-204.</w:t>
      </w:r>
    </w:p>
    <w:p w14:paraId="204ADA9E" w14:textId="77777777" w:rsidR="006326B5" w:rsidRDefault="006326B5" w:rsidP="006326B5">
      <w:pPr>
        <w:pStyle w:val="BodyText"/>
      </w:pPr>
      <w:r w:rsidRPr="009532BD">
        <w:t>STAGG, H.M.V., COCKSHELL, C.D., WILLCOX, J.B., HILL, A.J., NEEDHAM, D.V.L., THOMAS, B., O’BRIEN, G.W. AND HOUGH, L.P., 1990—Basins of the Great Australian Bight region, geology and petroleum potential. Bureau of Mineral Resources, Geology and Geophysics, Continental Margins Program Folio 5.</w:t>
      </w:r>
    </w:p>
    <w:p w14:paraId="72B19592" w14:textId="55DB2E22" w:rsidR="006326B5" w:rsidRDefault="006326B5" w:rsidP="006326B5">
      <w:pPr>
        <w:pStyle w:val="BodyText"/>
        <w:rPr>
          <w:rStyle w:val="Hyperlink"/>
          <w:color w:val="333333"/>
        </w:rPr>
      </w:pPr>
      <w:r>
        <w:t>STATOIL, 2017</w:t>
      </w:r>
      <w:r w:rsidRPr="009532BD">
        <w:t>—</w:t>
      </w:r>
      <w:r>
        <w:t xml:space="preserve">[webpage] </w:t>
      </w:r>
      <w:r w:rsidRPr="00DE2483">
        <w:t>Statoil announces revised exploration program in the Great Australian Bight</w:t>
      </w:r>
      <w:r w:rsidR="00CE2C1E">
        <w:t xml:space="preserve">, June 8 2017. </w:t>
      </w:r>
      <w:hyperlink r:id="rId112" w:history="1">
        <w:r w:rsidR="00CE2C1E">
          <w:rPr>
            <w:rStyle w:val="Hyperlink"/>
          </w:rPr>
          <w:t>https://www.equinor.com/en/news/revised-exploration-program-great-australian-bight.html</w:t>
        </w:r>
      </w:hyperlink>
      <w:r w:rsidR="00CE2C1E">
        <w:t xml:space="preserve"> </w:t>
      </w:r>
      <w:r w:rsidR="00CE2C1E">
        <w:rPr>
          <w:rStyle w:val="Hyperlink"/>
          <w:color w:val="333333"/>
        </w:rPr>
        <w:t>(last accessed 21</w:t>
      </w:r>
      <w:r>
        <w:rPr>
          <w:rStyle w:val="Hyperlink"/>
          <w:color w:val="333333"/>
        </w:rPr>
        <w:t xml:space="preserve"> </w:t>
      </w:r>
      <w:r w:rsidR="00CE2C1E">
        <w:rPr>
          <w:rStyle w:val="Hyperlink"/>
          <w:color w:val="333333"/>
        </w:rPr>
        <w:t xml:space="preserve">October </w:t>
      </w:r>
      <w:r>
        <w:rPr>
          <w:rStyle w:val="Hyperlink"/>
          <w:color w:val="333333"/>
        </w:rPr>
        <w:t>201</w:t>
      </w:r>
      <w:r w:rsidR="00CE2C1E">
        <w:rPr>
          <w:rStyle w:val="Hyperlink"/>
          <w:color w:val="333333"/>
        </w:rPr>
        <w:t>9</w:t>
      </w:r>
      <w:r>
        <w:rPr>
          <w:rStyle w:val="Hyperlink"/>
          <w:color w:val="333333"/>
        </w:rPr>
        <w:t>).</w:t>
      </w:r>
    </w:p>
    <w:p w14:paraId="4031BD35" w14:textId="593C6064" w:rsidR="00FF0D5B" w:rsidRDefault="00FF0D5B" w:rsidP="006326B5">
      <w:pPr>
        <w:pStyle w:val="BodyText"/>
      </w:pPr>
      <w:r w:rsidRPr="00FF0D5B">
        <w:t>STRØMSØYEN, I., SCHOMACKER, E., SØDERSTRØM, B., AND WAAGAN, B. M. T., 2019—</w:t>
      </w:r>
      <w:hyperlink r:id="rId113" w:history="1">
        <w:r w:rsidRPr="00FF0D5B">
          <w:rPr>
            <w:rStyle w:val="Hyperlink"/>
          </w:rPr>
          <w:t xml:space="preserve">The Bight Basin: a tale of three deltaic </w:t>
        </w:r>
        <w:proofErr w:type="spellStart"/>
        <w:r w:rsidRPr="00FF0D5B">
          <w:rPr>
            <w:rStyle w:val="Hyperlink"/>
          </w:rPr>
          <w:t>megasequences</w:t>
        </w:r>
        <w:proofErr w:type="spellEnd"/>
      </w:hyperlink>
      <w:r w:rsidRPr="00FF0D5B">
        <w:t>. The APPEA Journal, 59(2), 952-957.</w:t>
      </w:r>
    </w:p>
    <w:p w14:paraId="21C3E865" w14:textId="3FD3B669" w:rsidR="006326B5" w:rsidRPr="009532BD" w:rsidRDefault="006326B5" w:rsidP="006326B5">
      <w:pPr>
        <w:pStyle w:val="BodyText"/>
      </w:pPr>
      <w:r w:rsidRPr="009532BD">
        <w:t>STRUCKMEYER, H.I.M., 2009—</w:t>
      </w:r>
      <w:hyperlink r:id="rId114" w:history="1">
        <w:r w:rsidRPr="00403077">
          <w:rPr>
            <w:rStyle w:val="Hyperlink"/>
          </w:rPr>
          <w:t>Ceduna Sub-basin, Bight Basin: results of 3D petroleum systems modelling</w:t>
        </w:r>
      </w:hyperlink>
      <w:r w:rsidRPr="009532BD">
        <w:t xml:space="preserve">. </w:t>
      </w:r>
    </w:p>
    <w:p w14:paraId="73B722F6" w14:textId="77777777" w:rsidR="006326B5" w:rsidRPr="009532BD" w:rsidRDefault="006326B5" w:rsidP="006326B5">
      <w:pPr>
        <w:pStyle w:val="BodyText"/>
      </w:pPr>
      <w:r w:rsidRPr="009532BD">
        <w:t>STRUCKMEYER, H.I.M., TOTTERDELL, J.M., BLEVIN, J.E., LOGAN, G.A., BOREHAM, C.J., DEIGHTON, I., KRASSAY, A.A. AND BRADSHAW, M.T., 2001—Character, maturity and distribution of potential Cretaceous oil source rocks in the Ceduna Sub-basin, Bight Basin, Great Australian Bight. In: Hill, K.C. and Bernecker, T. (</w:t>
      </w:r>
      <w:proofErr w:type="spellStart"/>
      <w:proofErr w:type="gramStart"/>
      <w:r w:rsidRPr="009532BD">
        <w:t>eds</w:t>
      </w:r>
      <w:proofErr w:type="spellEnd"/>
      <w:proofErr w:type="gramEnd"/>
      <w:r w:rsidRPr="009532BD">
        <w:t>), Eastern Australian Basin Symposium: A Refocused Energy Perspective for the Future. Petroleum Exploration Society of Australia, Special Publication, 543–552.</w:t>
      </w:r>
    </w:p>
    <w:p w14:paraId="53C52104" w14:textId="776EA286" w:rsidR="006326B5" w:rsidRPr="009532BD" w:rsidRDefault="006326B5" w:rsidP="006326B5">
      <w:pPr>
        <w:pStyle w:val="BodyText"/>
      </w:pPr>
      <w:r w:rsidRPr="00AE1813">
        <w:t>STUART-SMITH, R.D., EDGAR, G.J., BARRETT, N.S., BATES, A.E., BAKER, S.C., BAX, N.J., BECERRO, M.A., BERKHOUT, J., BLANCHARD, J.L., BROCK, D.J., CLARK, G.F., COOPER, A.T., DAVIS, T.R., DAY, P.B., DUFFY, E., HOLMES, T.H., HOWE, S.A., JORDAN, A., KININMONTH, S., KNOTT, N.A., LEFCHECK, J.S., LING, S.D., PARR</w:t>
      </w:r>
      <w:r>
        <w:t xml:space="preserve">, A., STRAIN, E., SWEATMAN, H. AND </w:t>
      </w:r>
      <w:r w:rsidRPr="00AE1813">
        <w:t>THOMSON, R., 2017—</w:t>
      </w:r>
      <w:hyperlink r:id="rId115" w:history="1">
        <w:r w:rsidRPr="0094793C">
          <w:rPr>
            <w:rStyle w:val="Hyperlink"/>
          </w:rPr>
          <w:t>Assessing National Biodiversity Trends for Rocky and Coral Reefs through the Integration of Citizen Science and Scientific Monitoring Programs</w:t>
        </w:r>
      </w:hyperlink>
      <w:r w:rsidRPr="00AE1813">
        <w:t>. Bioscience 67, 134-146.</w:t>
      </w:r>
    </w:p>
    <w:p w14:paraId="4C9074CA" w14:textId="736BE9DC" w:rsidR="006326B5" w:rsidRPr="009532BD" w:rsidRDefault="006326B5" w:rsidP="006326B5">
      <w:pPr>
        <w:pStyle w:val="BodyText"/>
      </w:pPr>
      <w:r w:rsidRPr="009532BD">
        <w:t>TAPLEY, D., MEE, B.C., KING, S.J., DAVIS, R.C. AND LEISCHNER, K.R., 2005—</w:t>
      </w:r>
      <w:hyperlink r:id="rId116" w:history="1">
        <w:r w:rsidRPr="0094793C">
          <w:rPr>
            <w:rStyle w:val="Hyperlink"/>
          </w:rPr>
          <w:t>Petroleum potential of the Ceduna Sub-basin: impact of Gnarlyknots-1A</w:t>
        </w:r>
      </w:hyperlink>
      <w:r w:rsidRPr="009532BD">
        <w:t>. The APPEA Journal, 45(1), 365–380.</w:t>
      </w:r>
    </w:p>
    <w:p w14:paraId="5CDD3728" w14:textId="20DA3594" w:rsidR="006326B5" w:rsidRPr="009532BD" w:rsidRDefault="006326B5" w:rsidP="006326B5">
      <w:pPr>
        <w:pStyle w:val="BodyText"/>
      </w:pPr>
      <w:r w:rsidRPr="009532BD">
        <w:lastRenderedPageBreak/>
        <w:t>TEASDALE, J.P., PRYER, L.L., STUART-SMITH, P.G., ROMINE, K.K., ETHERIDGE, M.A., LOUTIT, T.S. AND KYAN, D.M., 2003—</w:t>
      </w:r>
      <w:hyperlink r:id="rId117" w:history="1">
        <w:r w:rsidRPr="0094793C">
          <w:rPr>
            <w:rStyle w:val="Hyperlink"/>
          </w:rPr>
          <w:t>Structural framework and basin evolution of Australia’s southern margin</w:t>
        </w:r>
      </w:hyperlink>
      <w:r w:rsidRPr="009532BD">
        <w:t>. The APPEA Journal, 43(1), 13–37.</w:t>
      </w:r>
    </w:p>
    <w:p w14:paraId="2D99E834" w14:textId="7D1E417C" w:rsidR="006326B5" w:rsidRPr="009532BD" w:rsidRDefault="006326B5" w:rsidP="006326B5">
      <w:pPr>
        <w:pStyle w:val="BodyText"/>
      </w:pPr>
      <w:r w:rsidRPr="009532BD">
        <w:t>TIKKU, A.A. AND CANDE, S.C., 1999—</w:t>
      </w:r>
      <w:hyperlink r:id="rId118" w:history="1">
        <w:proofErr w:type="gramStart"/>
        <w:r w:rsidRPr="0094793C">
          <w:rPr>
            <w:rStyle w:val="Hyperlink"/>
          </w:rPr>
          <w:t>The</w:t>
        </w:r>
        <w:proofErr w:type="gramEnd"/>
        <w:r w:rsidRPr="0094793C">
          <w:rPr>
            <w:rStyle w:val="Hyperlink"/>
          </w:rPr>
          <w:t xml:space="preserve"> oldest magnetic anomalies in the Australian–Antarctic Basin: are they </w:t>
        </w:r>
        <w:proofErr w:type="spellStart"/>
        <w:r w:rsidRPr="0094793C">
          <w:rPr>
            <w:rStyle w:val="Hyperlink"/>
          </w:rPr>
          <w:t>isochrons</w:t>
        </w:r>
        <w:proofErr w:type="spellEnd"/>
      </w:hyperlink>
      <w:r w:rsidRPr="009532BD">
        <w:t>? Journal of Geophysical Research, B1, 104, 661–677.</w:t>
      </w:r>
    </w:p>
    <w:p w14:paraId="046DD13C" w14:textId="436F427D" w:rsidR="006326B5" w:rsidRPr="009532BD" w:rsidRDefault="006326B5" w:rsidP="006326B5">
      <w:pPr>
        <w:pStyle w:val="BodyText"/>
      </w:pPr>
      <w:r w:rsidRPr="009532BD">
        <w:t>TOTTERDELL, J.M., BLEVIN, J.E., STRUCKMEYER, H.I.M., BRADSHAW, B.E., COLWELL, J.B. AND KENNARD, J.M., 2000—</w:t>
      </w:r>
      <w:hyperlink r:id="rId119" w:history="1">
        <w:proofErr w:type="gramStart"/>
        <w:r w:rsidRPr="00C922D3">
          <w:rPr>
            <w:rStyle w:val="Hyperlink"/>
          </w:rPr>
          <w:t>A</w:t>
        </w:r>
        <w:proofErr w:type="gramEnd"/>
        <w:r w:rsidRPr="00C922D3">
          <w:rPr>
            <w:rStyle w:val="Hyperlink"/>
          </w:rPr>
          <w:t xml:space="preserve"> new sequence framework for the Great Australian Bight: starting with a clean slate</w:t>
        </w:r>
      </w:hyperlink>
      <w:r w:rsidRPr="009532BD">
        <w:t>. The APPEA Journal, 40(1), 95–117.</w:t>
      </w:r>
    </w:p>
    <w:p w14:paraId="0400A312" w14:textId="0E82EC1E" w:rsidR="006326B5" w:rsidRPr="009532BD" w:rsidRDefault="006326B5" w:rsidP="006326B5">
      <w:pPr>
        <w:pStyle w:val="BodyText"/>
      </w:pPr>
      <w:r w:rsidRPr="009532BD">
        <w:t>TOTTERDELL, J.M. AND BRADSHAW, B.E., 2004—</w:t>
      </w:r>
      <w:hyperlink r:id="rId120" w:history="1">
        <w:proofErr w:type="gramStart"/>
        <w:r w:rsidRPr="00C922D3">
          <w:rPr>
            <w:rStyle w:val="Hyperlink"/>
          </w:rPr>
          <w:t>The</w:t>
        </w:r>
        <w:proofErr w:type="gramEnd"/>
        <w:r w:rsidRPr="00C922D3">
          <w:rPr>
            <w:rStyle w:val="Hyperlink"/>
          </w:rPr>
          <w:t xml:space="preserve"> structural framework and tectonic evolution of the Bight Basin</w:t>
        </w:r>
      </w:hyperlink>
      <w:r w:rsidRPr="009532BD">
        <w:t xml:space="preserve">. In: </w:t>
      </w:r>
      <w:proofErr w:type="spellStart"/>
      <w:r w:rsidRPr="009532BD">
        <w:t>Boult</w:t>
      </w:r>
      <w:proofErr w:type="spellEnd"/>
      <w:r w:rsidRPr="009532BD">
        <w:t>, P.J., Johns, D.R. and Lang, S.C. (</w:t>
      </w:r>
      <w:proofErr w:type="spellStart"/>
      <w:proofErr w:type="gramStart"/>
      <w:r w:rsidRPr="009532BD">
        <w:t>eds</w:t>
      </w:r>
      <w:proofErr w:type="spellEnd"/>
      <w:proofErr w:type="gramEnd"/>
      <w:r w:rsidRPr="009532BD">
        <w:t>), Eastern Australasian Basins Symposium II. Petroleum Exploration Society of Australia, Special Publication, 41–61.</w:t>
      </w:r>
    </w:p>
    <w:p w14:paraId="277CACD4" w14:textId="1F543961" w:rsidR="006326B5" w:rsidRPr="009532BD" w:rsidRDefault="006326B5" w:rsidP="006326B5">
      <w:pPr>
        <w:pStyle w:val="BodyText"/>
      </w:pPr>
      <w:r w:rsidRPr="009532BD">
        <w:t>TOTTERDELL, J., HALL, L., HASHIMOTO, T., OWEN, K. &amp; BRADSHAW, M., 2014—</w:t>
      </w:r>
      <w:hyperlink r:id="rId121" w:history="1">
        <w:r w:rsidRPr="00C922D3">
          <w:rPr>
            <w:rStyle w:val="Hyperlink"/>
          </w:rPr>
          <w:t>Petroleum geology inventory of Australia's offshore frontier basins</w:t>
        </w:r>
      </w:hyperlink>
      <w:r w:rsidRPr="009532BD">
        <w:t>. Geoscience Australia Record 2014/009, 524 pp.</w:t>
      </w:r>
    </w:p>
    <w:p w14:paraId="74FEF8D6" w14:textId="1902E326" w:rsidR="006326B5" w:rsidRPr="009532BD" w:rsidRDefault="006326B5" w:rsidP="006326B5">
      <w:pPr>
        <w:pStyle w:val="BodyText"/>
      </w:pPr>
      <w:r w:rsidRPr="009532BD">
        <w:t>TOTTERDELL, J.M. AND KRASSAY, A.A., 2003a—</w:t>
      </w:r>
      <w:hyperlink r:id="rId122" w:history="1">
        <w:proofErr w:type="gramStart"/>
        <w:r w:rsidRPr="00C922D3">
          <w:rPr>
            <w:rStyle w:val="Hyperlink"/>
          </w:rPr>
          <w:t>The</w:t>
        </w:r>
        <w:proofErr w:type="gramEnd"/>
        <w:r w:rsidRPr="00C922D3">
          <w:rPr>
            <w:rStyle w:val="Hyperlink"/>
          </w:rPr>
          <w:t xml:space="preserve"> role of shale deformation and growth faulting in the Late Cretaceous evolution of the Bight Basin, offshore southern Australia</w:t>
        </w:r>
      </w:hyperlink>
      <w:r w:rsidRPr="009532BD">
        <w:t xml:space="preserve">. In: Van </w:t>
      </w:r>
      <w:proofErr w:type="spellStart"/>
      <w:r w:rsidRPr="009532BD">
        <w:t>Rensbergen</w:t>
      </w:r>
      <w:proofErr w:type="spellEnd"/>
      <w:r w:rsidRPr="009532BD">
        <w:t xml:space="preserve">, P., </w:t>
      </w:r>
      <w:proofErr w:type="spellStart"/>
      <w:r w:rsidRPr="009532BD">
        <w:t>Hillis</w:t>
      </w:r>
      <w:proofErr w:type="spellEnd"/>
      <w:r w:rsidRPr="009532BD">
        <w:t xml:space="preserve">, R.R., </w:t>
      </w:r>
      <w:proofErr w:type="spellStart"/>
      <w:r w:rsidRPr="009532BD">
        <w:t>Maltman</w:t>
      </w:r>
      <w:proofErr w:type="spellEnd"/>
      <w:r w:rsidRPr="009532BD">
        <w:t>, A.J. and Morley, C.K. (</w:t>
      </w:r>
      <w:proofErr w:type="spellStart"/>
      <w:proofErr w:type="gramStart"/>
      <w:r w:rsidRPr="009532BD">
        <w:t>eds</w:t>
      </w:r>
      <w:proofErr w:type="spellEnd"/>
      <w:proofErr w:type="gramEnd"/>
      <w:r w:rsidRPr="009532BD">
        <w:t>), Subsurface sediment mobilisation. Geological Society, London, Special Publications 216, 429–442.</w:t>
      </w:r>
    </w:p>
    <w:p w14:paraId="749D0FF1" w14:textId="3C9C5751" w:rsidR="006326B5" w:rsidRPr="009532BD" w:rsidRDefault="006326B5" w:rsidP="006326B5">
      <w:pPr>
        <w:pStyle w:val="BodyText"/>
      </w:pPr>
      <w:r w:rsidRPr="009532BD">
        <w:t>TOTTERDELL, J.M. AND KRASSAY, A.A., 2003b—</w:t>
      </w:r>
      <w:hyperlink r:id="rId123" w:history="1">
        <w:r w:rsidRPr="00C922D3">
          <w:rPr>
            <w:rStyle w:val="Hyperlink"/>
          </w:rPr>
          <w:t>Sequence stratigraphic correlation of onshore and offshore Bight Basin successions</w:t>
        </w:r>
      </w:hyperlink>
      <w:r w:rsidRPr="009532BD">
        <w:t>. Geoscience Australia Record, 2003/02, 45pp.</w:t>
      </w:r>
    </w:p>
    <w:p w14:paraId="48798776" w14:textId="12CBEC27" w:rsidR="006326B5" w:rsidRPr="009532BD" w:rsidRDefault="006326B5" w:rsidP="006326B5">
      <w:pPr>
        <w:pStyle w:val="BodyText"/>
      </w:pPr>
      <w:r w:rsidRPr="009532BD">
        <w:t>TOTTERDELL, J.M. AND MITCHELL, C. (EDITORS), 2009—</w:t>
      </w:r>
      <w:hyperlink r:id="rId124" w:history="1">
        <w:r w:rsidRPr="00C922D3">
          <w:rPr>
            <w:rStyle w:val="Hyperlink"/>
          </w:rPr>
          <w:t>Bight Basin geological sampling and seepage survey, R/V Southern Surveyor survey SS01/2007: post-survey report</w:t>
        </w:r>
      </w:hyperlink>
      <w:r w:rsidRPr="009532BD">
        <w:t>. Geoscience Australia Record, 2009/24, 128pp.</w:t>
      </w:r>
    </w:p>
    <w:p w14:paraId="794E9DE5" w14:textId="77777777" w:rsidR="006326B5" w:rsidRPr="009532BD" w:rsidRDefault="006326B5" w:rsidP="006326B5">
      <w:pPr>
        <w:pStyle w:val="BodyText"/>
      </w:pPr>
      <w:r w:rsidRPr="009532BD">
        <w:t>TOTTERDELL, J.M., STRUCKMEYER, H.I.M., BERNECKER, T. AND KELMAN, A.P., 2013—</w:t>
      </w:r>
      <w:hyperlink r:id="rId125" w:history="1">
        <w:r w:rsidRPr="00403077">
          <w:rPr>
            <w:rStyle w:val="Hyperlink"/>
          </w:rPr>
          <w:t xml:space="preserve">Bight Basin </w:t>
        </w:r>
        <w:proofErr w:type="spellStart"/>
        <w:r w:rsidRPr="00403077">
          <w:rPr>
            <w:rStyle w:val="Hyperlink"/>
          </w:rPr>
          <w:t>Biozonation</w:t>
        </w:r>
        <w:proofErr w:type="spellEnd"/>
        <w:r w:rsidRPr="00403077">
          <w:rPr>
            <w:rStyle w:val="Hyperlink"/>
          </w:rPr>
          <w:t xml:space="preserve"> and Stratigraphy Chart 35. Geoscience Australia</w:t>
        </w:r>
      </w:hyperlink>
      <w:r w:rsidRPr="009532BD">
        <w:t xml:space="preserve">. </w:t>
      </w:r>
    </w:p>
    <w:p w14:paraId="580C46D6" w14:textId="277C10F2" w:rsidR="006326B5" w:rsidRDefault="006326B5" w:rsidP="006326B5">
      <w:pPr>
        <w:pStyle w:val="BodyText"/>
      </w:pPr>
      <w:r w:rsidRPr="009532BD">
        <w:t>TOTTERDELL, J.M., STRUCKMEYER, H.I.M., BOREHAM, C.J., MITCHELL, C.H., MONTEIL, E. AND BRADSHAW, B.E., 2008—</w:t>
      </w:r>
      <w:hyperlink r:id="rId126" w:history="1">
        <w:r w:rsidRPr="00C922D3">
          <w:rPr>
            <w:rStyle w:val="Hyperlink"/>
          </w:rPr>
          <w:t>Mid–Late Cretaceous organic-rich rocks from the eastern Bight Basin: implications for prospectivity</w:t>
        </w:r>
      </w:hyperlink>
      <w:r w:rsidRPr="009532BD">
        <w:t xml:space="preserve">. In: </w:t>
      </w:r>
      <w:proofErr w:type="spellStart"/>
      <w:r w:rsidRPr="009532BD">
        <w:t>Blevin</w:t>
      </w:r>
      <w:proofErr w:type="spellEnd"/>
      <w:r w:rsidRPr="009532BD">
        <w:t xml:space="preserve">, J.E., Bradshaw, B.E. and </w:t>
      </w:r>
      <w:proofErr w:type="spellStart"/>
      <w:r w:rsidRPr="009532BD">
        <w:t>Uruski</w:t>
      </w:r>
      <w:proofErr w:type="spellEnd"/>
      <w:r w:rsidRPr="009532BD">
        <w:t>, C. (</w:t>
      </w:r>
      <w:proofErr w:type="spellStart"/>
      <w:proofErr w:type="gramStart"/>
      <w:r w:rsidRPr="009532BD">
        <w:t>eds</w:t>
      </w:r>
      <w:proofErr w:type="spellEnd"/>
      <w:proofErr w:type="gramEnd"/>
      <w:r w:rsidRPr="009532BD">
        <w:t xml:space="preserve">), </w:t>
      </w:r>
      <w:hyperlink r:id="rId127" w:history="1">
        <w:r w:rsidRPr="00C922D3">
          <w:rPr>
            <w:rStyle w:val="Hyperlink"/>
          </w:rPr>
          <w:t>Eastern Australasian Basins Symposium III</w:t>
        </w:r>
      </w:hyperlink>
      <w:r w:rsidRPr="009532BD">
        <w:t>. Petroleum Exploration Society of Australia, Special Publication, 137–158.</w:t>
      </w:r>
    </w:p>
    <w:p w14:paraId="6A066844" w14:textId="7553C00A" w:rsidR="006326B5" w:rsidRDefault="006326B5" w:rsidP="006326B5">
      <w:pPr>
        <w:pStyle w:val="BodyText"/>
      </w:pPr>
      <w:r w:rsidRPr="008A18CF">
        <w:t>VETTER, E.W. AND DAYTON, P.K., 1998—</w:t>
      </w:r>
      <w:proofErr w:type="spellStart"/>
      <w:r w:rsidR="00274BF9">
        <w:fldChar w:fldCharType="begin"/>
      </w:r>
      <w:r w:rsidR="00274BF9">
        <w:instrText xml:space="preserve"> HYPERLINK "https://doi.org/10.1016/S0967-0645(97)00048-9" </w:instrText>
      </w:r>
      <w:r w:rsidR="00274BF9">
        <w:fldChar w:fldCharType="separate"/>
      </w:r>
      <w:r w:rsidRPr="00C922D3">
        <w:rPr>
          <w:rStyle w:val="Hyperlink"/>
        </w:rPr>
        <w:t>Macrofaunal</w:t>
      </w:r>
      <w:proofErr w:type="spellEnd"/>
      <w:r w:rsidRPr="00C922D3">
        <w:rPr>
          <w:rStyle w:val="Hyperlink"/>
        </w:rPr>
        <w:t xml:space="preserve"> communities within and adjacent to a detritus rich submarine canyon system</w:t>
      </w:r>
      <w:r w:rsidR="00274BF9">
        <w:rPr>
          <w:rStyle w:val="Hyperlink"/>
        </w:rPr>
        <w:fldChar w:fldCharType="end"/>
      </w:r>
      <w:r w:rsidRPr="008A18CF">
        <w:t>. Deep Sea Research Part II: Topical Studies in Oceanography, 45, 25-54.</w:t>
      </w:r>
    </w:p>
    <w:p w14:paraId="12DAE175" w14:textId="540B4F95" w:rsidR="006326B5" w:rsidRDefault="006326B5" w:rsidP="006326B5">
      <w:pPr>
        <w:pStyle w:val="BodyText"/>
      </w:pPr>
      <w:r w:rsidRPr="007E3680">
        <w:t>VETTER, E.W. AND DAYTON, P.K., 1999—</w:t>
      </w:r>
      <w:hyperlink r:id="rId128" w:history="1">
        <w:r w:rsidRPr="00C922D3">
          <w:rPr>
            <w:rStyle w:val="Hyperlink"/>
          </w:rPr>
          <w:t xml:space="preserve">Organic enrichment by </w:t>
        </w:r>
        <w:proofErr w:type="spellStart"/>
        <w:r w:rsidRPr="00C922D3">
          <w:rPr>
            <w:rStyle w:val="Hyperlink"/>
          </w:rPr>
          <w:t>macrophyte</w:t>
        </w:r>
        <w:proofErr w:type="spellEnd"/>
        <w:r w:rsidRPr="00C922D3">
          <w:rPr>
            <w:rStyle w:val="Hyperlink"/>
          </w:rPr>
          <w:t xml:space="preserve"> detritus, and abundance patterns of mega faunal population in submarine canyons</w:t>
        </w:r>
      </w:hyperlink>
      <w:r>
        <w:t>. Marine Ecology Progress Series, 186, 137-148.</w:t>
      </w:r>
    </w:p>
    <w:p w14:paraId="7207F66E" w14:textId="7F868400" w:rsidR="006326B5" w:rsidRPr="009532BD" w:rsidRDefault="006326B5" w:rsidP="006326B5">
      <w:pPr>
        <w:pStyle w:val="BodyText"/>
      </w:pPr>
      <w:r w:rsidRPr="00325015">
        <w:t>WARD, T.M., SOROKIN, S.J., CURRIE, D.R., ROGERS, P.J. AND MCLEAY, L.J., 2006—</w:t>
      </w:r>
      <w:proofErr w:type="spellStart"/>
      <w:r w:rsidR="00274BF9">
        <w:fldChar w:fldCharType="begin"/>
      </w:r>
      <w:r w:rsidR="00274BF9">
        <w:instrText xml:space="preserve"> HYPERLINK "https://doi.org/10.1016/j.csr.2005.09.006" </w:instrText>
      </w:r>
      <w:r w:rsidR="00274BF9">
        <w:fldChar w:fldCharType="separate"/>
      </w:r>
      <w:r w:rsidRPr="00BE6026">
        <w:rPr>
          <w:rStyle w:val="Hyperlink"/>
        </w:rPr>
        <w:t>Epifaunal</w:t>
      </w:r>
      <w:proofErr w:type="spellEnd"/>
      <w:r w:rsidRPr="00BE6026">
        <w:rPr>
          <w:rStyle w:val="Hyperlink"/>
        </w:rPr>
        <w:t xml:space="preserve"> assemblages of the eastern Great Australian Bight: Effectiveness of a benthic protection zone in representing regional biodiversity</w:t>
      </w:r>
      <w:r w:rsidR="00274BF9">
        <w:rPr>
          <w:rStyle w:val="Hyperlink"/>
        </w:rPr>
        <w:fldChar w:fldCharType="end"/>
      </w:r>
      <w:r w:rsidRPr="00325015">
        <w:t>. Continental Shelf Research, 26, 25-40.</w:t>
      </w:r>
    </w:p>
    <w:p w14:paraId="3685CB41" w14:textId="4E20A64E" w:rsidR="006326B5" w:rsidRDefault="006326B5" w:rsidP="006326B5">
      <w:pPr>
        <w:pStyle w:val="BodyText"/>
      </w:pPr>
      <w:r w:rsidRPr="009532BD">
        <w:t>WILLCOX, J.B. AND STAGG, H.M.J., 1990—</w:t>
      </w:r>
      <w:hyperlink r:id="rId129" w:history="1">
        <w:r w:rsidRPr="00BE6026">
          <w:rPr>
            <w:rStyle w:val="Hyperlink"/>
          </w:rPr>
          <w:t>Australia’s southern margin: a product of oblique extension</w:t>
        </w:r>
      </w:hyperlink>
      <w:r w:rsidRPr="009532BD">
        <w:t>. Tectonophysics, 173, 269–281.</w:t>
      </w:r>
    </w:p>
    <w:p w14:paraId="45D348AA" w14:textId="2A9CCB24" w:rsidR="006326B5" w:rsidRDefault="006326B5" w:rsidP="006326B5">
      <w:pPr>
        <w:pStyle w:val="BodyText"/>
      </w:pPr>
      <w:r>
        <w:t>WILLIAMS, A. AND TANNER, J.E., 2017</w:t>
      </w:r>
      <w:r w:rsidRPr="009532BD">
        <w:t>—</w:t>
      </w:r>
      <w:hyperlink r:id="rId130" w:history="1">
        <w:r w:rsidRPr="00BE6026">
          <w:rPr>
            <w:rStyle w:val="Hyperlink"/>
          </w:rPr>
          <w:t>Theme 3: Characterisation and assessment of deep-sea benthic biodiversity in the Great Australian Bight. Great Australian Bight Research Program, GABRP Research Report Series Number 3</w:t>
        </w:r>
        <w:r w:rsidR="00BE6026" w:rsidRPr="00BE6026">
          <w:rPr>
            <w:rStyle w:val="Hyperlink"/>
          </w:rPr>
          <w:t>3</w:t>
        </w:r>
      </w:hyperlink>
      <w:r w:rsidRPr="005273F3">
        <w:t xml:space="preserve">, 16pp. </w:t>
      </w:r>
    </w:p>
    <w:p w14:paraId="5597899C" w14:textId="77777777" w:rsidR="006326B5" w:rsidRDefault="006326B5" w:rsidP="006326B5">
      <w:pPr>
        <w:pStyle w:val="BodyText"/>
      </w:pPr>
      <w:r w:rsidRPr="00F374A3">
        <w:t xml:space="preserve">WOMERSLEY, H.B.S., 1990—Biogeography of Australasian marine </w:t>
      </w:r>
      <w:proofErr w:type="spellStart"/>
      <w:r w:rsidRPr="00F374A3">
        <w:t>macroalgae</w:t>
      </w:r>
      <w:proofErr w:type="spellEnd"/>
      <w:r w:rsidRPr="00F374A3">
        <w:t>. In: M.N. Clayton and R.J. King, (eds.), Biology of Marine Plants. Longman Cheshire, Melbourne, 266-295.</w:t>
      </w:r>
    </w:p>
    <w:p w14:paraId="3186F612" w14:textId="77777777" w:rsidR="006326B5" w:rsidRDefault="006326B5" w:rsidP="006326B5">
      <w:pPr>
        <w:pStyle w:val="BodyText"/>
      </w:pPr>
      <w:r w:rsidRPr="00F374A3">
        <w:t>YALATA COMMUNITY INC (YCI), 2000—Yalata Indigenous Protected Area plan of management. 59pp.</w:t>
      </w:r>
    </w:p>
    <w:p w14:paraId="5FFC6FDC" w14:textId="77777777" w:rsidR="00C957A0" w:rsidRPr="00002FA2" w:rsidRDefault="00282AE2" w:rsidP="007C5141">
      <w:pPr>
        <w:pStyle w:val="Figurecaptionstyle"/>
      </w:pPr>
      <w:r w:rsidRPr="00002FA2">
        <w:br w:type="page"/>
      </w:r>
    </w:p>
    <w:p w14:paraId="725C4115" w14:textId="77777777" w:rsidR="006D1FAE" w:rsidRPr="006326B5" w:rsidRDefault="006338AE" w:rsidP="006326B5">
      <w:pPr>
        <w:pStyle w:val="Heading3"/>
      </w:pPr>
      <w:r w:rsidRPr="006326B5">
        <w:lastRenderedPageBreak/>
        <w:t>Figure</w:t>
      </w:r>
      <w:r w:rsidR="006D1FAE" w:rsidRPr="006326B5">
        <w:t xml:space="preserve"> captions</w:t>
      </w:r>
    </w:p>
    <w:p w14:paraId="0ADA46DE" w14:textId="77777777" w:rsidR="0049441D" w:rsidRPr="00EE3692" w:rsidRDefault="0049441D" w:rsidP="0049441D">
      <w:pPr>
        <w:pStyle w:val="BodyText"/>
        <w:rPr>
          <w:szCs w:val="20"/>
        </w:rPr>
      </w:pPr>
      <w:r w:rsidRPr="00EE3692">
        <w:rPr>
          <w:b/>
          <w:szCs w:val="20"/>
        </w:rPr>
        <w:t>Figure 1</w:t>
      </w:r>
      <w:r w:rsidRPr="00EE3692">
        <w:rPr>
          <w:szCs w:val="20"/>
        </w:rPr>
        <w:t xml:space="preserve"> </w:t>
      </w:r>
      <w:r w:rsidRPr="00EE3692">
        <w:rPr>
          <w:szCs w:val="20"/>
        </w:rPr>
        <w:tab/>
        <w:t>Map of the Bight Basin showing bathymetry and well distribution.</w:t>
      </w:r>
    </w:p>
    <w:p w14:paraId="72DD7389" w14:textId="77777777" w:rsidR="0049441D" w:rsidRPr="00EE3692" w:rsidRDefault="0049441D" w:rsidP="0049441D">
      <w:pPr>
        <w:pStyle w:val="BodyText"/>
        <w:ind w:left="1440" w:hanging="1440"/>
        <w:rPr>
          <w:szCs w:val="20"/>
        </w:rPr>
      </w:pPr>
      <w:r w:rsidRPr="00EE3692">
        <w:rPr>
          <w:b/>
          <w:szCs w:val="20"/>
        </w:rPr>
        <w:t>Figure 2</w:t>
      </w:r>
      <w:r w:rsidRPr="00EE3692">
        <w:rPr>
          <w:szCs w:val="20"/>
        </w:rPr>
        <w:t xml:space="preserve"> </w:t>
      </w:r>
      <w:r w:rsidRPr="00EE3692">
        <w:rPr>
          <w:szCs w:val="20"/>
        </w:rPr>
        <w:tab/>
        <w:t>Tectonic elements map of the Bight Basin showing bathymetry, major faults, well distribution and location of cross-sections.</w:t>
      </w:r>
    </w:p>
    <w:p w14:paraId="34A63426" w14:textId="77777777" w:rsidR="0049441D" w:rsidRPr="00EE3692" w:rsidRDefault="0049441D" w:rsidP="0049441D">
      <w:pPr>
        <w:pStyle w:val="BodyText"/>
        <w:rPr>
          <w:szCs w:val="20"/>
        </w:rPr>
      </w:pPr>
      <w:r w:rsidRPr="00EE3692">
        <w:rPr>
          <w:b/>
          <w:szCs w:val="20"/>
        </w:rPr>
        <w:t>Figure 3</w:t>
      </w:r>
      <w:r w:rsidRPr="00EE3692">
        <w:rPr>
          <w:szCs w:val="20"/>
        </w:rPr>
        <w:tab/>
        <w:t>Tectonic elements map of the Bight Basin showing depocentre age.</w:t>
      </w:r>
    </w:p>
    <w:p w14:paraId="672B6680" w14:textId="77777777" w:rsidR="0049441D" w:rsidRPr="00EE3692" w:rsidRDefault="0049441D" w:rsidP="0049441D">
      <w:pPr>
        <w:pStyle w:val="BodyText"/>
        <w:ind w:left="1440" w:hanging="1440"/>
        <w:rPr>
          <w:szCs w:val="20"/>
        </w:rPr>
      </w:pPr>
      <w:r w:rsidRPr="00EE3692">
        <w:rPr>
          <w:b/>
          <w:szCs w:val="20"/>
        </w:rPr>
        <w:t>Figure 4</w:t>
      </w:r>
      <w:r w:rsidRPr="00EE3692">
        <w:rPr>
          <w:szCs w:val="20"/>
        </w:rPr>
        <w:t xml:space="preserve"> </w:t>
      </w:r>
      <w:r w:rsidRPr="00EE3692">
        <w:rPr>
          <w:szCs w:val="20"/>
        </w:rPr>
        <w:tab/>
        <w:t xml:space="preserve">Stratigraphic chart for the Bremer, Ceduna Duntroon and Eyre sub-basins. Based on the Bight Basin </w:t>
      </w:r>
      <w:proofErr w:type="spellStart"/>
      <w:r w:rsidRPr="00EE3692">
        <w:rPr>
          <w:szCs w:val="20"/>
        </w:rPr>
        <w:t>Biozonation</w:t>
      </w:r>
      <w:proofErr w:type="spellEnd"/>
      <w:r w:rsidRPr="00EE3692">
        <w:rPr>
          <w:szCs w:val="20"/>
        </w:rPr>
        <w:t xml:space="preserve"> and Stratigraphy Chart 35 (</w:t>
      </w:r>
      <w:proofErr w:type="spellStart"/>
      <w:r w:rsidRPr="00EE3692">
        <w:rPr>
          <w:szCs w:val="20"/>
        </w:rPr>
        <w:t>Totterdell</w:t>
      </w:r>
      <w:proofErr w:type="spellEnd"/>
      <w:r w:rsidRPr="00EE3692">
        <w:rPr>
          <w:szCs w:val="20"/>
        </w:rPr>
        <w:t xml:space="preserve"> et al, 2013). Geologic time scale after </w:t>
      </w:r>
      <w:proofErr w:type="spellStart"/>
      <w:r w:rsidRPr="00EE3692">
        <w:rPr>
          <w:szCs w:val="20"/>
        </w:rPr>
        <w:t>Ogg</w:t>
      </w:r>
      <w:proofErr w:type="spellEnd"/>
      <w:r w:rsidRPr="00EE3692">
        <w:rPr>
          <w:szCs w:val="20"/>
        </w:rPr>
        <w:t xml:space="preserve"> et al. (2016); sea-level curve of </w:t>
      </w:r>
      <w:proofErr w:type="spellStart"/>
      <w:r w:rsidRPr="00EE3692">
        <w:rPr>
          <w:szCs w:val="20"/>
        </w:rPr>
        <w:t>Haq</w:t>
      </w:r>
      <w:proofErr w:type="spellEnd"/>
      <w:r w:rsidRPr="00EE3692">
        <w:rPr>
          <w:szCs w:val="20"/>
        </w:rPr>
        <w:t xml:space="preserve"> et al (1988) calibrated to the time scale. </w:t>
      </w:r>
    </w:p>
    <w:p w14:paraId="07082E65" w14:textId="77777777" w:rsidR="0049441D" w:rsidRPr="00EE3692" w:rsidRDefault="0049441D" w:rsidP="0049441D">
      <w:pPr>
        <w:pStyle w:val="BodyText"/>
        <w:ind w:left="1440" w:hanging="1440"/>
        <w:rPr>
          <w:szCs w:val="20"/>
        </w:rPr>
      </w:pPr>
      <w:r w:rsidRPr="00EE3692">
        <w:rPr>
          <w:b/>
          <w:szCs w:val="20"/>
        </w:rPr>
        <w:t>Figure 5</w:t>
      </w:r>
      <w:r w:rsidRPr="00EE3692">
        <w:rPr>
          <w:szCs w:val="20"/>
        </w:rPr>
        <w:t xml:space="preserve"> </w:t>
      </w:r>
      <w:r w:rsidRPr="00EE3692">
        <w:rPr>
          <w:szCs w:val="20"/>
        </w:rPr>
        <w:tab/>
        <w:t>Seismic cross-section across northern Ceduna Sub-basin, showing structural and stratigraphic relationships. Location of the cross-section shown in Figure 2, refer to Figure 4 for Supersequence ages.</w:t>
      </w:r>
    </w:p>
    <w:p w14:paraId="5FE88FC3" w14:textId="77777777" w:rsidR="0049441D" w:rsidRPr="00EE3692" w:rsidRDefault="0049441D" w:rsidP="0049441D">
      <w:pPr>
        <w:pStyle w:val="BodyText"/>
        <w:ind w:left="1440" w:hanging="1440"/>
        <w:rPr>
          <w:szCs w:val="20"/>
        </w:rPr>
      </w:pPr>
      <w:r w:rsidRPr="00EE3692">
        <w:rPr>
          <w:b/>
          <w:szCs w:val="20"/>
        </w:rPr>
        <w:t>Figure 6</w:t>
      </w:r>
      <w:r w:rsidRPr="00EE3692">
        <w:rPr>
          <w:szCs w:val="20"/>
        </w:rPr>
        <w:t xml:space="preserve"> </w:t>
      </w:r>
      <w:r w:rsidRPr="00EE3692">
        <w:rPr>
          <w:szCs w:val="20"/>
        </w:rPr>
        <w:tab/>
        <w:t>Cross-section through the Eyre Sub-basin, Madura Shelf and Ceduna Sub-basin, showing structural and stratigraphic relationships. Location of the cross-section shown in Figure 2, refer to Figure 4 for Supersequence ages.</w:t>
      </w:r>
    </w:p>
    <w:p w14:paraId="77E01915" w14:textId="77777777" w:rsidR="0049441D" w:rsidRPr="00EE3692" w:rsidRDefault="0049441D" w:rsidP="0049441D">
      <w:pPr>
        <w:pStyle w:val="BodyText"/>
        <w:ind w:left="1440" w:hanging="1440"/>
        <w:rPr>
          <w:szCs w:val="20"/>
        </w:rPr>
      </w:pPr>
      <w:r w:rsidRPr="00EE3692">
        <w:rPr>
          <w:b/>
          <w:szCs w:val="20"/>
        </w:rPr>
        <w:t>Figure 7</w:t>
      </w:r>
      <w:r w:rsidRPr="00EE3692">
        <w:rPr>
          <w:szCs w:val="20"/>
        </w:rPr>
        <w:tab/>
        <w:t>Cross-section through the Duntroon and Ceduna sub-basins, showing structural and stratigraphic relationships. Location of the cross-section shown in Figure 2, refer to Figure 4 for Supersequence ages.</w:t>
      </w:r>
    </w:p>
    <w:p w14:paraId="6B2F3463" w14:textId="77777777" w:rsidR="0049441D" w:rsidRPr="00EE3692" w:rsidRDefault="0049441D" w:rsidP="0049441D">
      <w:pPr>
        <w:pStyle w:val="BodyText"/>
        <w:ind w:left="1440" w:hanging="1440"/>
        <w:rPr>
          <w:szCs w:val="20"/>
        </w:rPr>
      </w:pPr>
      <w:r w:rsidRPr="00EE3692">
        <w:rPr>
          <w:b/>
          <w:szCs w:val="20"/>
        </w:rPr>
        <w:t>Figure 8</w:t>
      </w:r>
      <w:r w:rsidRPr="00EE3692">
        <w:rPr>
          <w:szCs w:val="20"/>
        </w:rPr>
        <w:t xml:space="preserve"> </w:t>
      </w:r>
      <w:r w:rsidRPr="00EE3692">
        <w:rPr>
          <w:szCs w:val="20"/>
        </w:rPr>
        <w:tab/>
        <w:t>Cross-section through the central Bremer Sub-basin, showing structural and stratigraphic relationships; based on the extensional basin model of Nicholson &amp; Ryan (2005). Location of the cross-section shown in Figure 2, refer to Figure 4 for Supersequence ages.</w:t>
      </w:r>
    </w:p>
    <w:p w14:paraId="68CFC38F" w14:textId="77777777" w:rsidR="00E53B3D" w:rsidRDefault="00E53B3D" w:rsidP="0049441D">
      <w:pPr>
        <w:pStyle w:val="BodyText"/>
        <w:ind w:left="1440" w:hanging="1440"/>
        <w:rPr>
          <w:szCs w:val="20"/>
        </w:rPr>
      </w:pPr>
      <w:r w:rsidRPr="00EE3692">
        <w:rPr>
          <w:b/>
          <w:szCs w:val="20"/>
        </w:rPr>
        <w:t xml:space="preserve">Figure </w:t>
      </w:r>
      <w:r>
        <w:rPr>
          <w:b/>
          <w:szCs w:val="20"/>
        </w:rPr>
        <w:t>9</w:t>
      </w:r>
      <w:r w:rsidRPr="00EE3692">
        <w:rPr>
          <w:szCs w:val="20"/>
        </w:rPr>
        <w:t xml:space="preserve"> </w:t>
      </w:r>
      <w:r w:rsidRPr="00EE3692">
        <w:rPr>
          <w:szCs w:val="20"/>
        </w:rPr>
        <w:tab/>
      </w:r>
      <w:r w:rsidRPr="00E53B3D">
        <w:rPr>
          <w:szCs w:val="20"/>
        </w:rPr>
        <w:t xml:space="preserve">Map of the Bight Basin showing current petroleum licences and operators. </w:t>
      </w:r>
    </w:p>
    <w:p w14:paraId="0CF99A40" w14:textId="23EA2665" w:rsidR="0049441D" w:rsidRPr="00EE3692" w:rsidRDefault="0049441D" w:rsidP="0049441D">
      <w:pPr>
        <w:pStyle w:val="BodyText"/>
        <w:ind w:left="1440" w:hanging="1440"/>
        <w:rPr>
          <w:szCs w:val="20"/>
        </w:rPr>
      </w:pPr>
      <w:bookmarkStart w:id="0" w:name="_GoBack"/>
      <w:bookmarkEnd w:id="0"/>
      <w:r w:rsidRPr="00EE3692">
        <w:rPr>
          <w:b/>
          <w:szCs w:val="20"/>
        </w:rPr>
        <w:t xml:space="preserve">Figure </w:t>
      </w:r>
      <w:r w:rsidR="00E53B3D">
        <w:rPr>
          <w:b/>
          <w:szCs w:val="20"/>
        </w:rPr>
        <w:t>10</w:t>
      </w:r>
      <w:r w:rsidRPr="00EE3692">
        <w:rPr>
          <w:szCs w:val="20"/>
        </w:rPr>
        <w:t xml:space="preserve"> </w:t>
      </w:r>
      <w:r w:rsidRPr="00EE3692">
        <w:rPr>
          <w:szCs w:val="20"/>
        </w:rPr>
        <w:tab/>
        <w:t xml:space="preserve">Stratigraphy and potential petroleum systems, Ceduna Sub-basin. Geologic time scale after </w:t>
      </w:r>
      <w:proofErr w:type="spellStart"/>
      <w:r w:rsidRPr="00EE3692">
        <w:rPr>
          <w:szCs w:val="20"/>
        </w:rPr>
        <w:t>Ogg</w:t>
      </w:r>
      <w:proofErr w:type="spellEnd"/>
      <w:r w:rsidRPr="00EE3692">
        <w:rPr>
          <w:szCs w:val="20"/>
        </w:rPr>
        <w:t xml:space="preserve"> et al. (2016); sea-level curve of </w:t>
      </w:r>
      <w:proofErr w:type="spellStart"/>
      <w:r w:rsidRPr="00EE3692">
        <w:rPr>
          <w:szCs w:val="20"/>
        </w:rPr>
        <w:t>Haq</w:t>
      </w:r>
      <w:proofErr w:type="spellEnd"/>
      <w:r w:rsidRPr="00EE3692">
        <w:rPr>
          <w:szCs w:val="20"/>
        </w:rPr>
        <w:t xml:space="preserve"> et al (1988) calibrated to the time scale. </w:t>
      </w:r>
    </w:p>
    <w:p w14:paraId="5E9F4C76" w14:textId="43CF0594" w:rsidR="0049441D" w:rsidRPr="00EE3692" w:rsidRDefault="0049441D" w:rsidP="0049441D">
      <w:pPr>
        <w:pStyle w:val="BodyText"/>
        <w:rPr>
          <w:szCs w:val="20"/>
        </w:rPr>
      </w:pPr>
      <w:r w:rsidRPr="00EE3692">
        <w:rPr>
          <w:b/>
          <w:szCs w:val="20"/>
        </w:rPr>
        <w:t>Figure 1</w:t>
      </w:r>
      <w:r w:rsidR="00E53B3D">
        <w:rPr>
          <w:b/>
          <w:szCs w:val="20"/>
        </w:rPr>
        <w:t>1</w:t>
      </w:r>
      <w:r w:rsidRPr="00EE3692">
        <w:rPr>
          <w:szCs w:val="20"/>
        </w:rPr>
        <w:t xml:space="preserve"> </w:t>
      </w:r>
      <w:r w:rsidRPr="00EE3692">
        <w:rPr>
          <w:szCs w:val="20"/>
        </w:rPr>
        <w:tab/>
        <w:t xml:space="preserve">Profiles showing petroleum systems modelling results for the Ceduna Sub-basin. </w:t>
      </w:r>
    </w:p>
    <w:p w14:paraId="20452216" w14:textId="77777777" w:rsidR="0049441D" w:rsidRPr="00EE3692" w:rsidRDefault="0049441D" w:rsidP="0049441D">
      <w:pPr>
        <w:pStyle w:val="BodyText"/>
        <w:ind w:left="1440"/>
        <w:rPr>
          <w:szCs w:val="20"/>
        </w:rPr>
      </w:pPr>
      <w:r w:rsidRPr="00EE3692">
        <w:rPr>
          <w:b/>
          <w:szCs w:val="20"/>
        </w:rPr>
        <w:t>Upper:</w:t>
      </w:r>
      <w:r w:rsidRPr="00EE3692">
        <w:rPr>
          <w:szCs w:val="20"/>
        </w:rPr>
        <w:t xml:space="preserve"> 2D transect across central Ceduna Sub-basin showing the modelled stratigraphic units and potential source rock layers. </w:t>
      </w:r>
    </w:p>
    <w:p w14:paraId="173969F4" w14:textId="77777777" w:rsidR="0049441D" w:rsidRPr="00EE3692" w:rsidRDefault="0049441D" w:rsidP="0049441D">
      <w:pPr>
        <w:pStyle w:val="BodyText"/>
        <w:ind w:left="1440"/>
        <w:rPr>
          <w:szCs w:val="20"/>
        </w:rPr>
      </w:pPr>
      <w:r w:rsidRPr="00EE3692">
        <w:rPr>
          <w:b/>
          <w:szCs w:val="20"/>
        </w:rPr>
        <w:t>Middle:</w:t>
      </w:r>
      <w:r w:rsidRPr="00EE3692">
        <w:rPr>
          <w:szCs w:val="20"/>
        </w:rPr>
        <w:t xml:space="preserve"> 2D transect across central Ceduna Sub-basin showing modelled present-day maturity zones (% Ro). Supersequences are labelled. </w:t>
      </w:r>
    </w:p>
    <w:p w14:paraId="10A285D1" w14:textId="77777777" w:rsidR="0049441D" w:rsidRPr="00EE3692" w:rsidRDefault="0049441D" w:rsidP="0049441D">
      <w:pPr>
        <w:pStyle w:val="BodyText"/>
        <w:ind w:left="1440"/>
        <w:rPr>
          <w:szCs w:val="20"/>
        </w:rPr>
      </w:pPr>
      <w:r w:rsidRPr="00EE3692">
        <w:rPr>
          <w:b/>
          <w:szCs w:val="20"/>
        </w:rPr>
        <w:t>Lower:</w:t>
      </w:r>
      <w:r w:rsidRPr="00EE3692">
        <w:rPr>
          <w:szCs w:val="20"/>
        </w:rPr>
        <w:t xml:space="preserve"> 2D transect across central Ceduna Sub-basin showing modelled present-day transformation ratios (%) of three potential source rock units within the Blue Whale, upper White Pointer and Tiger supersequences. </w:t>
      </w:r>
    </w:p>
    <w:p w14:paraId="45F4640A" w14:textId="77777777" w:rsidR="0049441D" w:rsidRPr="00EE3692" w:rsidRDefault="0049441D" w:rsidP="0049441D">
      <w:pPr>
        <w:pStyle w:val="BodyText"/>
        <w:ind w:left="720" w:firstLine="720"/>
        <w:rPr>
          <w:szCs w:val="20"/>
        </w:rPr>
      </w:pPr>
      <w:r w:rsidRPr="00EE3692">
        <w:rPr>
          <w:szCs w:val="20"/>
        </w:rPr>
        <w:t xml:space="preserve">Location of the profile is shown in Figure 2. After </w:t>
      </w:r>
      <w:proofErr w:type="spellStart"/>
      <w:r w:rsidRPr="00EE3692">
        <w:rPr>
          <w:szCs w:val="20"/>
        </w:rPr>
        <w:t>Totterdell</w:t>
      </w:r>
      <w:proofErr w:type="spellEnd"/>
      <w:r w:rsidRPr="00EE3692">
        <w:rPr>
          <w:szCs w:val="20"/>
        </w:rPr>
        <w:t xml:space="preserve"> et al, 2008.</w:t>
      </w:r>
    </w:p>
    <w:p w14:paraId="4BAEA78D" w14:textId="2B82AF91" w:rsidR="0049441D" w:rsidRPr="00EE3692" w:rsidRDefault="0049441D" w:rsidP="0049441D">
      <w:pPr>
        <w:pStyle w:val="BodyText"/>
        <w:ind w:left="1440" w:hanging="1440"/>
        <w:rPr>
          <w:szCs w:val="20"/>
        </w:rPr>
      </w:pPr>
      <w:r w:rsidRPr="00EE3692">
        <w:rPr>
          <w:b/>
          <w:szCs w:val="20"/>
        </w:rPr>
        <w:t>Figure 1</w:t>
      </w:r>
      <w:r w:rsidR="00E53B3D">
        <w:rPr>
          <w:b/>
          <w:szCs w:val="20"/>
        </w:rPr>
        <w:t>2</w:t>
      </w:r>
      <w:r w:rsidRPr="00EE3692">
        <w:rPr>
          <w:szCs w:val="20"/>
        </w:rPr>
        <w:t xml:space="preserve"> </w:t>
      </w:r>
      <w:r w:rsidRPr="00EE3692">
        <w:rPr>
          <w:szCs w:val="20"/>
        </w:rPr>
        <w:tab/>
        <w:t xml:space="preserve">Schematic cross-section and indicative play types in the Ceduna Sub-basin. After </w:t>
      </w:r>
      <w:proofErr w:type="spellStart"/>
      <w:r w:rsidRPr="00EE3692">
        <w:rPr>
          <w:szCs w:val="20"/>
        </w:rPr>
        <w:t>Klauser-Baumgärtner</w:t>
      </w:r>
      <w:proofErr w:type="spellEnd"/>
      <w:r w:rsidRPr="00EE3692">
        <w:rPr>
          <w:szCs w:val="20"/>
        </w:rPr>
        <w:t xml:space="preserve"> et al, 2019.</w:t>
      </w:r>
    </w:p>
    <w:p w14:paraId="065EB6D9" w14:textId="061776E2" w:rsidR="0049441D" w:rsidRPr="00EE3692" w:rsidRDefault="0049441D" w:rsidP="0049441D">
      <w:pPr>
        <w:pStyle w:val="BodyText"/>
        <w:ind w:left="1440" w:hanging="1440"/>
        <w:rPr>
          <w:szCs w:val="20"/>
        </w:rPr>
      </w:pPr>
      <w:r w:rsidRPr="00EE3692">
        <w:rPr>
          <w:b/>
          <w:szCs w:val="20"/>
        </w:rPr>
        <w:t>Figure 1</w:t>
      </w:r>
      <w:r w:rsidR="00E53B3D">
        <w:rPr>
          <w:b/>
          <w:szCs w:val="20"/>
        </w:rPr>
        <w:t>3</w:t>
      </w:r>
      <w:r w:rsidRPr="00EE3692">
        <w:rPr>
          <w:szCs w:val="20"/>
        </w:rPr>
        <w:t xml:space="preserve"> </w:t>
      </w:r>
      <w:r w:rsidRPr="00EE3692">
        <w:rPr>
          <w:szCs w:val="20"/>
        </w:rPr>
        <w:tab/>
        <w:t>Map showing marine reserves, marine parks, multiple use zones and ecological features in the Bight Basin.</w:t>
      </w:r>
    </w:p>
    <w:sectPr w:rsidR="0049441D" w:rsidRPr="00EE3692" w:rsidSect="00160DA1">
      <w:headerReference w:type="default" r:id="rId131"/>
      <w:footerReference w:type="default" r:id="rId132"/>
      <w:headerReference w:type="first" r:id="rId133"/>
      <w:footerReference w:type="first" r:id="rId134"/>
      <w:pgSz w:w="11906" w:h="16838" w:code="9"/>
      <w:pgMar w:top="1134" w:right="1077" w:bottom="1361" w:left="1077"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51683" w14:textId="77777777" w:rsidR="00FD633E" w:rsidRDefault="00FD633E">
      <w:r>
        <w:separator/>
      </w:r>
    </w:p>
  </w:endnote>
  <w:endnote w:type="continuationSeparator" w:id="0">
    <w:p w14:paraId="7795E54A" w14:textId="77777777" w:rsidR="00FD633E" w:rsidRDefault="00FD6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Times New Roman"/>
    <w:charset w:val="00"/>
    <w:family w:val="auto"/>
    <w:pitch w:val="variable"/>
    <w:sig w:usb0="00000001"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B9BD3" w14:textId="7CD6E795" w:rsidR="00FD633E" w:rsidRDefault="00FD633E" w:rsidP="0010288A">
    <w:pPr>
      <w:pStyle w:val="Footer"/>
      <w:framePr w:h="270" w:hRule="exact" w:wrap="around" w:vAnchor="text" w:hAnchor="page" w:x="15635" w:y="1"/>
      <w:rPr>
        <w:rStyle w:val="PageNumber"/>
      </w:rPr>
    </w:pPr>
    <w:r>
      <w:rPr>
        <w:rStyle w:val="PageNumber"/>
        <w:b/>
      </w:rPr>
      <w:fldChar w:fldCharType="begin"/>
    </w:r>
    <w:r>
      <w:rPr>
        <w:rStyle w:val="PageNumber"/>
        <w:b/>
      </w:rPr>
      <w:instrText xml:space="preserve">PAGE  </w:instrText>
    </w:r>
    <w:r>
      <w:rPr>
        <w:rStyle w:val="PageNumber"/>
        <w:b/>
      </w:rPr>
      <w:fldChar w:fldCharType="separate"/>
    </w:r>
    <w:r w:rsidR="00E53B3D">
      <w:rPr>
        <w:rStyle w:val="PageNumber"/>
        <w:b/>
        <w:noProof/>
      </w:rPr>
      <w:t>21</w:t>
    </w:r>
    <w:r>
      <w:rPr>
        <w:rStyle w:val="PageNumber"/>
        <w:b/>
      </w:rPr>
      <w:fldChar w:fldCharType="end"/>
    </w:r>
  </w:p>
  <w:p w14:paraId="02A5B12B" w14:textId="3857B81C" w:rsidR="00FD633E" w:rsidRPr="0010288A" w:rsidRDefault="00FD633E" w:rsidP="0010288A">
    <w:pPr>
      <w:pStyle w:val="Foliotext"/>
    </w:pPr>
    <w:r>
      <w:rPr>
        <w:rStyle w:val="Bold"/>
      </w:rPr>
      <w:t>AUSTRALIA</w:t>
    </w:r>
    <w:r>
      <w:tab/>
      <w:t>Regional Geology of the Bight Basin</w:t>
    </w:r>
    <w:r>
      <w:tab/>
    </w:r>
    <w:r>
      <w:rPr>
        <w:rStyle w:val="Bold"/>
      </w:rPr>
      <w:fldChar w:fldCharType="begin"/>
    </w:r>
    <w:r>
      <w:rPr>
        <w:rStyle w:val="Bold"/>
      </w:rPr>
      <w:instrText xml:space="preserve"> PAGE   \* MERGEFORMAT </w:instrText>
    </w:r>
    <w:r>
      <w:rPr>
        <w:rStyle w:val="Bold"/>
      </w:rPr>
      <w:fldChar w:fldCharType="separate"/>
    </w:r>
    <w:r w:rsidR="00E53B3D">
      <w:rPr>
        <w:rStyle w:val="Bold"/>
        <w:noProof/>
      </w:rPr>
      <w:t>21</w:t>
    </w:r>
    <w:r>
      <w:rPr>
        <w:rStyle w:val="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7A2E7" w14:textId="77777777" w:rsidR="00FD633E" w:rsidRDefault="00FD633E" w:rsidP="00160DA1">
    <w:pPr>
      <w:pStyle w:val="Header"/>
    </w:pPr>
    <w:r>
      <w:rPr>
        <w:noProof/>
        <w:lang w:eastAsia="en-AU"/>
      </w:rPr>
      <w:drawing>
        <wp:inline distT="0" distB="0" distL="0" distR="0" wp14:anchorId="6BD26886" wp14:editId="0200D684">
          <wp:extent cx="6192520" cy="110744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extLst>
                      <a:ext uri="{28A0092B-C50C-407E-A947-70E740481C1C}">
                        <a14:useLocalDpi xmlns:a14="http://schemas.microsoft.com/office/drawing/2010/main" val="0"/>
                      </a:ext>
                    </a:extLst>
                  </a:blip>
                  <a:srcRect t="1" b="-10938"/>
                  <a:stretch/>
                </pic:blipFill>
                <pic:spPr bwMode="auto">
                  <a:xfrm>
                    <a:off x="0" y="0"/>
                    <a:ext cx="6192520" cy="1107440"/>
                  </a:xfrm>
                  <a:prstGeom prst="rect">
                    <a:avLst/>
                  </a:prstGeom>
                  <a:ln>
                    <a:noFill/>
                  </a:ln>
                  <a:extLst>
                    <a:ext uri="{53640926-AAD7-44D8-BBD7-CCE9431645EC}">
                      <a14:shadowObscured xmlns:a14="http://schemas.microsoft.com/office/drawing/2010/main"/>
                    </a:ext>
                  </a:extLst>
                </pic:spPr>
              </pic:pic>
            </a:graphicData>
          </a:graphic>
        </wp:inline>
      </w:drawing>
    </w:r>
  </w:p>
  <w:p w14:paraId="1C6146F8" w14:textId="4CEA4518" w:rsidR="00FD633E" w:rsidRDefault="00FD633E" w:rsidP="00160DA1">
    <w:pPr>
      <w:pStyle w:val="Footer"/>
      <w:framePr w:h="270" w:hRule="exact" w:wrap="around" w:vAnchor="text" w:hAnchor="page" w:x="15635" w:y="1"/>
      <w:rPr>
        <w:rStyle w:val="PageNumber"/>
      </w:rPr>
    </w:pPr>
    <w:r>
      <w:rPr>
        <w:rStyle w:val="PageNumber"/>
        <w:b/>
      </w:rPr>
      <w:fldChar w:fldCharType="begin"/>
    </w:r>
    <w:r>
      <w:rPr>
        <w:rStyle w:val="PageNumber"/>
        <w:b/>
      </w:rPr>
      <w:instrText xml:space="preserve">PAGE  </w:instrText>
    </w:r>
    <w:r>
      <w:rPr>
        <w:rStyle w:val="PageNumber"/>
        <w:b/>
      </w:rPr>
      <w:fldChar w:fldCharType="separate"/>
    </w:r>
    <w:r w:rsidR="00E53B3D">
      <w:rPr>
        <w:rStyle w:val="PageNumber"/>
        <w:b/>
        <w:noProof/>
      </w:rPr>
      <w:t>1</w:t>
    </w:r>
    <w:r>
      <w:rPr>
        <w:rStyle w:val="PageNumber"/>
        <w:b/>
      </w:rPr>
      <w:fldChar w:fldCharType="end"/>
    </w:r>
  </w:p>
  <w:p w14:paraId="5AEC63C5" w14:textId="358F8F1F" w:rsidR="00FD633E" w:rsidRDefault="00FD633E" w:rsidP="00C931C7">
    <w:pPr>
      <w:pStyle w:val="Foliotext"/>
      <w:tabs>
        <w:tab w:val="left" w:pos="4788"/>
      </w:tabs>
    </w:pPr>
    <w:r>
      <w:rPr>
        <w:rStyle w:val="Bold"/>
      </w:rPr>
      <w:t>AUSTRALIA</w:t>
    </w:r>
    <w:r>
      <w:tab/>
    </w:r>
    <w:r>
      <w:tab/>
      <w:t>Regional Geology of the Bight Basin</w:t>
    </w:r>
    <w:r>
      <w:tab/>
    </w:r>
    <w:r>
      <w:rPr>
        <w:rStyle w:val="Bold"/>
      </w:rPr>
      <w:fldChar w:fldCharType="begin"/>
    </w:r>
    <w:r>
      <w:rPr>
        <w:rStyle w:val="Bold"/>
      </w:rPr>
      <w:instrText xml:space="preserve"> PAGE   \* MERGEFORMAT </w:instrText>
    </w:r>
    <w:r>
      <w:rPr>
        <w:rStyle w:val="Bold"/>
      </w:rPr>
      <w:fldChar w:fldCharType="separate"/>
    </w:r>
    <w:r w:rsidR="00E53B3D">
      <w:rPr>
        <w:rStyle w:val="Bold"/>
        <w:noProof/>
      </w:rPr>
      <w:t>1</w:t>
    </w:r>
    <w:r>
      <w:rPr>
        <w:rStyle w:val="Bold"/>
      </w:rPr>
      <w:fldChar w:fldCharType="end"/>
    </w:r>
  </w:p>
  <w:p w14:paraId="39BC67F0" w14:textId="6D2AE44E" w:rsidR="00FD633E" w:rsidRPr="00160DA1" w:rsidRDefault="00FD633E" w:rsidP="00160DA1">
    <w:pPr>
      <w:pStyle w:val="Foliotext"/>
      <w:rPr>
        <w:i/>
      </w:rPr>
    </w:pPr>
    <w:r>
      <w:rPr>
        <w:i/>
        <w:color w:val="595959" w:themeColor="text1" w:themeTint="A6"/>
      </w:rPr>
      <w:t>Last updated 2020</w:t>
    </w:r>
    <w:r>
      <w:rPr>
        <w:i/>
        <w:color w:val="595959" w:themeColor="text1" w:themeTint="A6"/>
      </w:rPr>
      <w:tab/>
    </w:r>
    <w:r>
      <w:rPr>
        <w:i/>
        <w:color w:val="595959" w:themeColor="text1" w:themeTint="A6"/>
      </w:rPr>
      <w:tab/>
      <w:t xml:space="preserve">                                              </w:t>
    </w:r>
    <w:hyperlink r:id="rId2" w:history="1">
      <w:r>
        <w:rPr>
          <w:rStyle w:val="Hyperlink"/>
        </w:rPr>
        <w:t>https://www.ga.gov.au/petroleum</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177B0" w14:textId="77777777" w:rsidR="00FD633E" w:rsidRDefault="00FD633E">
      <w:r>
        <w:separator/>
      </w:r>
    </w:p>
  </w:footnote>
  <w:footnote w:type="continuationSeparator" w:id="0">
    <w:p w14:paraId="679FE0DA" w14:textId="77777777" w:rsidR="00FD633E" w:rsidRDefault="00FD6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00FCF" w14:textId="77777777" w:rsidR="00FD633E" w:rsidRDefault="00FD633E">
    <w:pPr>
      <w:pStyle w:val="Header"/>
    </w:pPr>
    <w:r>
      <w:rPr>
        <w:noProof/>
        <w:lang w:eastAsia="en-AU"/>
      </w:rPr>
      <w:drawing>
        <wp:inline distT="0" distB="0" distL="0" distR="0" wp14:anchorId="35D57B14" wp14:editId="59DF8DF3">
          <wp:extent cx="6192520" cy="110744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extLst>
                      <a:ext uri="{28A0092B-C50C-407E-A947-70E740481C1C}">
                        <a14:useLocalDpi xmlns:a14="http://schemas.microsoft.com/office/drawing/2010/main" val="0"/>
                      </a:ext>
                    </a:extLst>
                  </a:blip>
                  <a:srcRect t="1" b="-10938"/>
                  <a:stretch/>
                </pic:blipFill>
                <pic:spPr bwMode="auto">
                  <a:xfrm>
                    <a:off x="0" y="0"/>
                    <a:ext cx="6192520" cy="110744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0F164" w14:textId="77777777" w:rsidR="00FD633E" w:rsidRDefault="00FD633E">
    <w:pPr>
      <w:pStyle w:val="Header"/>
    </w:pPr>
    <w:r>
      <w:rPr>
        <w:noProof/>
        <w:lang w:eastAsia="en-AU"/>
      </w:rPr>
      <w:drawing>
        <wp:anchor distT="0" distB="0" distL="114300" distR="114300" simplePos="0" relativeHeight="251658240" behindDoc="0" locked="0" layoutInCell="1" allowOverlap="1" wp14:anchorId="70559265" wp14:editId="1DDE14D8">
          <wp:simplePos x="0" y="0"/>
          <wp:positionH relativeFrom="page">
            <wp:align>right</wp:align>
          </wp:positionH>
          <wp:positionV relativeFrom="paragraph">
            <wp:posOffset>-450215</wp:posOffset>
          </wp:positionV>
          <wp:extent cx="7549200" cy="1350000"/>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extLst>
                      <a:ext uri="{28A0092B-C50C-407E-A947-70E740481C1C}">
                        <a14:useLocalDpi xmlns:a14="http://schemas.microsoft.com/office/drawing/2010/main" val="0"/>
                      </a:ext>
                    </a:extLst>
                  </a:blip>
                  <a:srcRect t="1" b="-10938"/>
                  <a:stretch/>
                </pic:blipFill>
                <pic:spPr bwMode="auto">
                  <a:xfrm>
                    <a:off x="0" y="0"/>
                    <a:ext cx="7549200" cy="135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6C34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CCC29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42712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E321CB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4DCAA3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2C094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BA1A7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FE0E92"/>
    <w:lvl w:ilvl="0">
      <w:start w:val="1"/>
      <w:numFmt w:val="bullet"/>
      <w:pStyle w:val="Table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553E7F2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620DF4"/>
    <w:multiLevelType w:val="multilevel"/>
    <w:tmpl w:val="0C09001D"/>
    <w:styleLink w:val="BulletTEXT"/>
    <w:lvl w:ilvl="0">
      <w:start w:val="1"/>
      <w:numFmt w:val="bullet"/>
      <w:lvlText w:val=""/>
      <w:lvlJc w:val="left"/>
      <w:pPr>
        <w:tabs>
          <w:tab w:val="num" w:pos="360"/>
        </w:tabs>
        <w:ind w:left="360" w:hanging="360"/>
      </w:pPr>
      <w:rPr>
        <w:rFonts w:ascii="Symbol" w:hAnsi="Symbol"/>
        <w:color w:val="333333"/>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04C6B1A"/>
    <w:multiLevelType w:val="hybridMultilevel"/>
    <w:tmpl w:val="4BBCE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B00097"/>
    <w:multiLevelType w:val="multilevel"/>
    <w:tmpl w:val="0C09001D"/>
    <w:styleLink w:val="numberedLIST"/>
    <w:lvl w:ilvl="0">
      <w:start w:val="1"/>
      <w:numFmt w:val="decimal"/>
      <w:lvlText w:val="%1)"/>
      <w:lvlJc w:val="left"/>
      <w:pPr>
        <w:tabs>
          <w:tab w:val="num" w:pos="360"/>
        </w:tabs>
        <w:ind w:left="360" w:hanging="360"/>
      </w:pPr>
      <w:rPr>
        <w:rFonts w:ascii="Myriad Pro" w:hAnsi="Myriad Pro"/>
        <w:color w:val="333333"/>
        <w:sz w:val="1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07D08E9"/>
    <w:multiLevelType w:val="hybridMultilevel"/>
    <w:tmpl w:val="9AB23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C93A0F"/>
    <w:multiLevelType w:val="hybridMultilevel"/>
    <w:tmpl w:val="150AA944"/>
    <w:lvl w:ilvl="0" w:tplc="3910A67C">
      <w:start w:val="1"/>
      <w:numFmt w:val="bullet"/>
      <w:pStyle w:val="ListBulletINTRO"/>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3A5607"/>
    <w:multiLevelType w:val="hybridMultilevel"/>
    <w:tmpl w:val="76145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5A44B1"/>
    <w:multiLevelType w:val="hybridMultilevel"/>
    <w:tmpl w:val="BEFA1602"/>
    <w:lvl w:ilvl="0" w:tplc="8EB64BE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7F0A51"/>
    <w:multiLevelType w:val="hybridMultilevel"/>
    <w:tmpl w:val="1AE2B5A6"/>
    <w:lvl w:ilvl="0" w:tplc="9D929948">
      <w:start w:val="1"/>
      <w:numFmt w:val="bullet"/>
      <w:pStyle w:val="body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007272F"/>
    <w:multiLevelType w:val="hybridMultilevel"/>
    <w:tmpl w:val="01F80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EC5017"/>
    <w:multiLevelType w:val="hybridMultilevel"/>
    <w:tmpl w:val="A4B68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31D6252"/>
    <w:multiLevelType w:val="singleLevel"/>
    <w:tmpl w:val="0A00063C"/>
    <w:lvl w:ilvl="0">
      <w:start w:val="1"/>
      <w:numFmt w:val="decimal"/>
      <w:pStyle w:val="ListNumber"/>
      <w:lvlText w:val="%1."/>
      <w:lvlJc w:val="left"/>
      <w:pPr>
        <w:tabs>
          <w:tab w:val="num" w:pos="360"/>
        </w:tabs>
        <w:ind w:left="360" w:hanging="360"/>
      </w:pPr>
      <w:rPr>
        <w:color w:val="333333"/>
      </w:rPr>
    </w:lvl>
  </w:abstractNum>
  <w:num w:numId="1">
    <w:abstractNumId w:val="9"/>
  </w:num>
  <w:num w:numId="2">
    <w:abstractNumId w:val="11"/>
  </w:num>
  <w:num w:numId="3">
    <w:abstractNumId w:val="7"/>
  </w:num>
  <w:num w:numId="4">
    <w:abstractNumId w:val="8"/>
  </w:num>
  <w:num w:numId="5">
    <w:abstractNumId w:val="6"/>
  </w:num>
  <w:num w:numId="6">
    <w:abstractNumId w:val="5"/>
  </w:num>
  <w:num w:numId="7">
    <w:abstractNumId w:val="4"/>
  </w:num>
  <w:num w:numId="8">
    <w:abstractNumId w:val="13"/>
  </w:num>
  <w:num w:numId="9">
    <w:abstractNumId w:val="19"/>
  </w:num>
  <w:num w:numId="10">
    <w:abstractNumId w:val="3"/>
  </w:num>
  <w:num w:numId="11">
    <w:abstractNumId w:val="2"/>
  </w:num>
  <w:num w:numId="12">
    <w:abstractNumId w:val="1"/>
  </w:num>
  <w:num w:numId="13">
    <w:abstractNumId w:val="0"/>
  </w:num>
  <w:num w:numId="14">
    <w:abstractNumId w:val="7"/>
  </w:num>
  <w:num w:numId="15">
    <w:abstractNumId w:val="15"/>
  </w:num>
  <w:num w:numId="16">
    <w:abstractNumId w:val="16"/>
  </w:num>
  <w:num w:numId="17">
    <w:abstractNumId w:val="12"/>
  </w:num>
  <w:num w:numId="18">
    <w:abstractNumId w:val="10"/>
  </w:num>
  <w:num w:numId="19">
    <w:abstractNumId w:val="14"/>
  </w:num>
  <w:num w:numId="20">
    <w:abstractNumId w:val="17"/>
  </w:num>
  <w:num w:numId="21">
    <w:abstractNumId w:val="16"/>
  </w:num>
  <w:num w:numId="22">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activeWritingStyle w:appName="MSWord" w:lang="en-US" w:vendorID="64" w:dllVersion="131078" w:nlCheck="1" w:checkStyle="1"/>
  <w:activeWritingStyle w:appName="MSWord" w:lang="en-AU" w:vendorID="64" w:dllVersion="131078" w:nlCheck="1" w:checkStyle="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603"/>
    <w:rsid w:val="00002FA2"/>
    <w:rsid w:val="0000399B"/>
    <w:rsid w:val="000212E6"/>
    <w:rsid w:val="000300F7"/>
    <w:rsid w:val="00036F35"/>
    <w:rsid w:val="00045CEC"/>
    <w:rsid w:val="000609DE"/>
    <w:rsid w:val="00061277"/>
    <w:rsid w:val="00065306"/>
    <w:rsid w:val="00066603"/>
    <w:rsid w:val="000721AE"/>
    <w:rsid w:val="00073294"/>
    <w:rsid w:val="000864CA"/>
    <w:rsid w:val="00086874"/>
    <w:rsid w:val="00090811"/>
    <w:rsid w:val="00093A6F"/>
    <w:rsid w:val="000954F5"/>
    <w:rsid w:val="000A69F9"/>
    <w:rsid w:val="000B7330"/>
    <w:rsid w:val="000C64D1"/>
    <w:rsid w:val="000D0586"/>
    <w:rsid w:val="000D0681"/>
    <w:rsid w:val="000E0F04"/>
    <w:rsid w:val="000E5EB7"/>
    <w:rsid w:val="000F196F"/>
    <w:rsid w:val="000F5499"/>
    <w:rsid w:val="00100A34"/>
    <w:rsid w:val="0010269F"/>
    <w:rsid w:val="0010288A"/>
    <w:rsid w:val="001050F2"/>
    <w:rsid w:val="00112235"/>
    <w:rsid w:val="00114AAF"/>
    <w:rsid w:val="0011543E"/>
    <w:rsid w:val="0012369B"/>
    <w:rsid w:val="00127718"/>
    <w:rsid w:val="00127FD9"/>
    <w:rsid w:val="00132062"/>
    <w:rsid w:val="00142A2A"/>
    <w:rsid w:val="0014357D"/>
    <w:rsid w:val="00146FAC"/>
    <w:rsid w:val="00154870"/>
    <w:rsid w:val="00160963"/>
    <w:rsid w:val="00160DA1"/>
    <w:rsid w:val="0016137C"/>
    <w:rsid w:val="00161C27"/>
    <w:rsid w:val="00167148"/>
    <w:rsid w:val="00175E48"/>
    <w:rsid w:val="00182A54"/>
    <w:rsid w:val="0018567A"/>
    <w:rsid w:val="00187F91"/>
    <w:rsid w:val="001919C6"/>
    <w:rsid w:val="001A273C"/>
    <w:rsid w:val="001B2D19"/>
    <w:rsid w:val="001B7090"/>
    <w:rsid w:val="001D3DF3"/>
    <w:rsid w:val="001E607A"/>
    <w:rsid w:val="001E7298"/>
    <w:rsid w:val="001F3C23"/>
    <w:rsid w:val="001F41DB"/>
    <w:rsid w:val="00211270"/>
    <w:rsid w:val="00212EF3"/>
    <w:rsid w:val="002179B4"/>
    <w:rsid w:val="00220DCB"/>
    <w:rsid w:val="00223D9D"/>
    <w:rsid w:val="00224BFD"/>
    <w:rsid w:val="00236BD1"/>
    <w:rsid w:val="00243EAC"/>
    <w:rsid w:val="00261AF5"/>
    <w:rsid w:val="00262B1E"/>
    <w:rsid w:val="00274187"/>
    <w:rsid w:val="00274BF9"/>
    <w:rsid w:val="00282AE2"/>
    <w:rsid w:val="00286F38"/>
    <w:rsid w:val="0029147A"/>
    <w:rsid w:val="00292BCC"/>
    <w:rsid w:val="00295E4B"/>
    <w:rsid w:val="00296A1D"/>
    <w:rsid w:val="002977B1"/>
    <w:rsid w:val="002A758C"/>
    <w:rsid w:val="002B568D"/>
    <w:rsid w:val="002C29FA"/>
    <w:rsid w:val="002C6657"/>
    <w:rsid w:val="002D361C"/>
    <w:rsid w:val="002D3E76"/>
    <w:rsid w:val="002E4AFD"/>
    <w:rsid w:val="002F250B"/>
    <w:rsid w:val="00315259"/>
    <w:rsid w:val="0032054A"/>
    <w:rsid w:val="003221DD"/>
    <w:rsid w:val="0034269F"/>
    <w:rsid w:val="00343C17"/>
    <w:rsid w:val="00347638"/>
    <w:rsid w:val="00347E3E"/>
    <w:rsid w:val="003545ED"/>
    <w:rsid w:val="00356AC5"/>
    <w:rsid w:val="0035779C"/>
    <w:rsid w:val="00357FD3"/>
    <w:rsid w:val="00362AA7"/>
    <w:rsid w:val="00363537"/>
    <w:rsid w:val="00371F4A"/>
    <w:rsid w:val="00387753"/>
    <w:rsid w:val="00387983"/>
    <w:rsid w:val="003A1674"/>
    <w:rsid w:val="003A2FA5"/>
    <w:rsid w:val="003A49F0"/>
    <w:rsid w:val="003C1C18"/>
    <w:rsid w:val="003C1D6A"/>
    <w:rsid w:val="003C1D88"/>
    <w:rsid w:val="003C644B"/>
    <w:rsid w:val="003C65BB"/>
    <w:rsid w:val="003E4EF0"/>
    <w:rsid w:val="003F0851"/>
    <w:rsid w:val="00403261"/>
    <w:rsid w:val="004037AB"/>
    <w:rsid w:val="004152F4"/>
    <w:rsid w:val="00420ED1"/>
    <w:rsid w:val="0042439C"/>
    <w:rsid w:val="004561BC"/>
    <w:rsid w:val="0045684F"/>
    <w:rsid w:val="00461BF7"/>
    <w:rsid w:val="004637EA"/>
    <w:rsid w:val="00464690"/>
    <w:rsid w:val="004807E6"/>
    <w:rsid w:val="00485941"/>
    <w:rsid w:val="0048707C"/>
    <w:rsid w:val="00487679"/>
    <w:rsid w:val="00487F09"/>
    <w:rsid w:val="0049441D"/>
    <w:rsid w:val="00494A83"/>
    <w:rsid w:val="004A595C"/>
    <w:rsid w:val="004A5D39"/>
    <w:rsid w:val="004B2A11"/>
    <w:rsid w:val="004B5AD4"/>
    <w:rsid w:val="004C5A1C"/>
    <w:rsid w:val="004D5387"/>
    <w:rsid w:val="004E7626"/>
    <w:rsid w:val="004F0A9F"/>
    <w:rsid w:val="004F30C3"/>
    <w:rsid w:val="004F73C9"/>
    <w:rsid w:val="00501847"/>
    <w:rsid w:val="00536A5E"/>
    <w:rsid w:val="00536C8E"/>
    <w:rsid w:val="005523A1"/>
    <w:rsid w:val="00556B43"/>
    <w:rsid w:val="0056317E"/>
    <w:rsid w:val="00564FA0"/>
    <w:rsid w:val="0056756E"/>
    <w:rsid w:val="005752FF"/>
    <w:rsid w:val="00575AAC"/>
    <w:rsid w:val="00577D49"/>
    <w:rsid w:val="00577FBB"/>
    <w:rsid w:val="00583B83"/>
    <w:rsid w:val="00584A01"/>
    <w:rsid w:val="00594FE0"/>
    <w:rsid w:val="00597311"/>
    <w:rsid w:val="005A16F9"/>
    <w:rsid w:val="005A2A59"/>
    <w:rsid w:val="005A3DB1"/>
    <w:rsid w:val="005B2C15"/>
    <w:rsid w:val="005B3403"/>
    <w:rsid w:val="005B4C33"/>
    <w:rsid w:val="005C12FE"/>
    <w:rsid w:val="005C215D"/>
    <w:rsid w:val="005C6D38"/>
    <w:rsid w:val="005C7000"/>
    <w:rsid w:val="005D0D4A"/>
    <w:rsid w:val="005D10BB"/>
    <w:rsid w:val="005D3A20"/>
    <w:rsid w:val="005D61A4"/>
    <w:rsid w:val="005D7B56"/>
    <w:rsid w:val="005F14DB"/>
    <w:rsid w:val="00604BAB"/>
    <w:rsid w:val="00604E0F"/>
    <w:rsid w:val="00611CDE"/>
    <w:rsid w:val="00614A4E"/>
    <w:rsid w:val="0062046A"/>
    <w:rsid w:val="0063098E"/>
    <w:rsid w:val="006326B5"/>
    <w:rsid w:val="006333A8"/>
    <w:rsid w:val="006338AE"/>
    <w:rsid w:val="00645E02"/>
    <w:rsid w:val="00652EBF"/>
    <w:rsid w:val="00661BEF"/>
    <w:rsid w:val="006641FC"/>
    <w:rsid w:val="0068267A"/>
    <w:rsid w:val="00691509"/>
    <w:rsid w:val="00691A91"/>
    <w:rsid w:val="00694833"/>
    <w:rsid w:val="006A16C3"/>
    <w:rsid w:val="006A431F"/>
    <w:rsid w:val="006B1ABE"/>
    <w:rsid w:val="006B66AB"/>
    <w:rsid w:val="006B7E53"/>
    <w:rsid w:val="006C24B5"/>
    <w:rsid w:val="006C6577"/>
    <w:rsid w:val="006C6F4A"/>
    <w:rsid w:val="006D0D6D"/>
    <w:rsid w:val="006D1B19"/>
    <w:rsid w:val="006D1FAE"/>
    <w:rsid w:val="006D62FA"/>
    <w:rsid w:val="006D77F1"/>
    <w:rsid w:val="006E5BF7"/>
    <w:rsid w:val="006F0BC9"/>
    <w:rsid w:val="006F7AFB"/>
    <w:rsid w:val="007058BE"/>
    <w:rsid w:val="00715795"/>
    <w:rsid w:val="00720A18"/>
    <w:rsid w:val="007240A5"/>
    <w:rsid w:val="0073355A"/>
    <w:rsid w:val="00742617"/>
    <w:rsid w:val="00755F08"/>
    <w:rsid w:val="00770FD6"/>
    <w:rsid w:val="00772ED9"/>
    <w:rsid w:val="00784135"/>
    <w:rsid w:val="007912A5"/>
    <w:rsid w:val="007961F0"/>
    <w:rsid w:val="007A7D3A"/>
    <w:rsid w:val="007B169E"/>
    <w:rsid w:val="007B18C7"/>
    <w:rsid w:val="007C07BF"/>
    <w:rsid w:val="007C5141"/>
    <w:rsid w:val="007D4056"/>
    <w:rsid w:val="007E1144"/>
    <w:rsid w:val="007E151A"/>
    <w:rsid w:val="007E4219"/>
    <w:rsid w:val="007F53BB"/>
    <w:rsid w:val="007F7777"/>
    <w:rsid w:val="008006EF"/>
    <w:rsid w:val="00806D55"/>
    <w:rsid w:val="008220B8"/>
    <w:rsid w:val="00823D29"/>
    <w:rsid w:val="00824301"/>
    <w:rsid w:val="008311EE"/>
    <w:rsid w:val="008328A7"/>
    <w:rsid w:val="008357A5"/>
    <w:rsid w:val="008361F3"/>
    <w:rsid w:val="008447C7"/>
    <w:rsid w:val="00851BA3"/>
    <w:rsid w:val="0085657D"/>
    <w:rsid w:val="008565BD"/>
    <w:rsid w:val="00865CD9"/>
    <w:rsid w:val="00866AE1"/>
    <w:rsid w:val="0087387E"/>
    <w:rsid w:val="00874D56"/>
    <w:rsid w:val="00875ECC"/>
    <w:rsid w:val="00876771"/>
    <w:rsid w:val="008803A7"/>
    <w:rsid w:val="00887EE6"/>
    <w:rsid w:val="00896E8E"/>
    <w:rsid w:val="008A1D85"/>
    <w:rsid w:val="008C2DFA"/>
    <w:rsid w:val="008C2FB2"/>
    <w:rsid w:val="008C5FE1"/>
    <w:rsid w:val="008C71C7"/>
    <w:rsid w:val="008D253F"/>
    <w:rsid w:val="008D3CB8"/>
    <w:rsid w:val="008D7D9E"/>
    <w:rsid w:val="008E48B1"/>
    <w:rsid w:val="008E722B"/>
    <w:rsid w:val="008F51F8"/>
    <w:rsid w:val="00901E1A"/>
    <w:rsid w:val="00904DC9"/>
    <w:rsid w:val="0090672C"/>
    <w:rsid w:val="00907A79"/>
    <w:rsid w:val="0091107F"/>
    <w:rsid w:val="00911F1E"/>
    <w:rsid w:val="009142FE"/>
    <w:rsid w:val="00917C4D"/>
    <w:rsid w:val="00921CA3"/>
    <w:rsid w:val="009313D7"/>
    <w:rsid w:val="00937632"/>
    <w:rsid w:val="0093767C"/>
    <w:rsid w:val="00944802"/>
    <w:rsid w:val="0094793C"/>
    <w:rsid w:val="00954E2F"/>
    <w:rsid w:val="00954E66"/>
    <w:rsid w:val="009565F7"/>
    <w:rsid w:val="00963B17"/>
    <w:rsid w:val="009643AF"/>
    <w:rsid w:val="0096459A"/>
    <w:rsid w:val="00975B1D"/>
    <w:rsid w:val="009836D2"/>
    <w:rsid w:val="00984F22"/>
    <w:rsid w:val="0098664E"/>
    <w:rsid w:val="009927AA"/>
    <w:rsid w:val="009930A9"/>
    <w:rsid w:val="00997D50"/>
    <w:rsid w:val="009A1DFD"/>
    <w:rsid w:val="009A5EC5"/>
    <w:rsid w:val="009A6F91"/>
    <w:rsid w:val="009A7C73"/>
    <w:rsid w:val="009B0817"/>
    <w:rsid w:val="009B2297"/>
    <w:rsid w:val="009B58BD"/>
    <w:rsid w:val="009C4DD7"/>
    <w:rsid w:val="009C5058"/>
    <w:rsid w:val="009C5A96"/>
    <w:rsid w:val="009C6185"/>
    <w:rsid w:val="009C6C6C"/>
    <w:rsid w:val="009D23A3"/>
    <w:rsid w:val="009D3C92"/>
    <w:rsid w:val="009D4897"/>
    <w:rsid w:val="009D7795"/>
    <w:rsid w:val="009E15C0"/>
    <w:rsid w:val="009E72BC"/>
    <w:rsid w:val="009F0FCF"/>
    <w:rsid w:val="009F68CC"/>
    <w:rsid w:val="00A13BDB"/>
    <w:rsid w:val="00A450B9"/>
    <w:rsid w:val="00A4543E"/>
    <w:rsid w:val="00A54FA2"/>
    <w:rsid w:val="00A55946"/>
    <w:rsid w:val="00A60E0E"/>
    <w:rsid w:val="00A6237E"/>
    <w:rsid w:val="00A709BC"/>
    <w:rsid w:val="00A73673"/>
    <w:rsid w:val="00A74082"/>
    <w:rsid w:val="00A840FC"/>
    <w:rsid w:val="00A94FAD"/>
    <w:rsid w:val="00AA2E2E"/>
    <w:rsid w:val="00AB3F7B"/>
    <w:rsid w:val="00AB788F"/>
    <w:rsid w:val="00AD16F5"/>
    <w:rsid w:val="00AD46FD"/>
    <w:rsid w:val="00AE5B47"/>
    <w:rsid w:val="00AF0BDE"/>
    <w:rsid w:val="00B04078"/>
    <w:rsid w:val="00B06185"/>
    <w:rsid w:val="00B075F4"/>
    <w:rsid w:val="00B174B3"/>
    <w:rsid w:val="00B258D0"/>
    <w:rsid w:val="00B25DCC"/>
    <w:rsid w:val="00B36EB9"/>
    <w:rsid w:val="00B378C5"/>
    <w:rsid w:val="00B37DC9"/>
    <w:rsid w:val="00B42AD9"/>
    <w:rsid w:val="00B44F14"/>
    <w:rsid w:val="00B507BE"/>
    <w:rsid w:val="00B53809"/>
    <w:rsid w:val="00B540B0"/>
    <w:rsid w:val="00B618DF"/>
    <w:rsid w:val="00B62708"/>
    <w:rsid w:val="00B715E3"/>
    <w:rsid w:val="00B75421"/>
    <w:rsid w:val="00B77AF3"/>
    <w:rsid w:val="00B82EDE"/>
    <w:rsid w:val="00B84F36"/>
    <w:rsid w:val="00B87EA1"/>
    <w:rsid w:val="00B91C20"/>
    <w:rsid w:val="00B940A1"/>
    <w:rsid w:val="00BE1569"/>
    <w:rsid w:val="00BE6026"/>
    <w:rsid w:val="00BE7780"/>
    <w:rsid w:val="00BF05A8"/>
    <w:rsid w:val="00BF531E"/>
    <w:rsid w:val="00C05B52"/>
    <w:rsid w:val="00C23F8F"/>
    <w:rsid w:val="00C35AAA"/>
    <w:rsid w:val="00C35BC7"/>
    <w:rsid w:val="00C46827"/>
    <w:rsid w:val="00C46E51"/>
    <w:rsid w:val="00C646CA"/>
    <w:rsid w:val="00C64F4D"/>
    <w:rsid w:val="00C70246"/>
    <w:rsid w:val="00C71AE5"/>
    <w:rsid w:val="00C77A9D"/>
    <w:rsid w:val="00C847EF"/>
    <w:rsid w:val="00C85F26"/>
    <w:rsid w:val="00C86211"/>
    <w:rsid w:val="00C866A4"/>
    <w:rsid w:val="00C86AB7"/>
    <w:rsid w:val="00C86D62"/>
    <w:rsid w:val="00C922D3"/>
    <w:rsid w:val="00C931C7"/>
    <w:rsid w:val="00C957A0"/>
    <w:rsid w:val="00CA4CC4"/>
    <w:rsid w:val="00CA57DD"/>
    <w:rsid w:val="00CB0708"/>
    <w:rsid w:val="00CC356C"/>
    <w:rsid w:val="00CC63D9"/>
    <w:rsid w:val="00CC7A0D"/>
    <w:rsid w:val="00CC7B75"/>
    <w:rsid w:val="00CD06DA"/>
    <w:rsid w:val="00CD13BB"/>
    <w:rsid w:val="00CD2AC9"/>
    <w:rsid w:val="00CD4FEA"/>
    <w:rsid w:val="00CE2C1E"/>
    <w:rsid w:val="00CF376B"/>
    <w:rsid w:val="00CF78C4"/>
    <w:rsid w:val="00D060A0"/>
    <w:rsid w:val="00D104CF"/>
    <w:rsid w:val="00D113FA"/>
    <w:rsid w:val="00D1377D"/>
    <w:rsid w:val="00D2022D"/>
    <w:rsid w:val="00D20AD0"/>
    <w:rsid w:val="00D20F5F"/>
    <w:rsid w:val="00D427EC"/>
    <w:rsid w:val="00D428B5"/>
    <w:rsid w:val="00D43908"/>
    <w:rsid w:val="00D46017"/>
    <w:rsid w:val="00D47EF8"/>
    <w:rsid w:val="00D539EF"/>
    <w:rsid w:val="00D63484"/>
    <w:rsid w:val="00D734F6"/>
    <w:rsid w:val="00D83359"/>
    <w:rsid w:val="00D83A7F"/>
    <w:rsid w:val="00D84EEE"/>
    <w:rsid w:val="00D876F6"/>
    <w:rsid w:val="00DA131D"/>
    <w:rsid w:val="00DB1B98"/>
    <w:rsid w:val="00DB5C1C"/>
    <w:rsid w:val="00DC103F"/>
    <w:rsid w:val="00DC16F5"/>
    <w:rsid w:val="00DC189A"/>
    <w:rsid w:val="00DC5255"/>
    <w:rsid w:val="00DD588C"/>
    <w:rsid w:val="00DE3CA1"/>
    <w:rsid w:val="00DE47D0"/>
    <w:rsid w:val="00DE7E89"/>
    <w:rsid w:val="00DF164C"/>
    <w:rsid w:val="00DF1877"/>
    <w:rsid w:val="00DF5C5D"/>
    <w:rsid w:val="00E02669"/>
    <w:rsid w:val="00E056DD"/>
    <w:rsid w:val="00E11999"/>
    <w:rsid w:val="00E20EFF"/>
    <w:rsid w:val="00E27817"/>
    <w:rsid w:val="00E41CF6"/>
    <w:rsid w:val="00E504FF"/>
    <w:rsid w:val="00E53B3D"/>
    <w:rsid w:val="00E53D75"/>
    <w:rsid w:val="00E65B47"/>
    <w:rsid w:val="00E67EDC"/>
    <w:rsid w:val="00E81807"/>
    <w:rsid w:val="00E8592E"/>
    <w:rsid w:val="00E90DE8"/>
    <w:rsid w:val="00E94017"/>
    <w:rsid w:val="00E95E03"/>
    <w:rsid w:val="00EA042F"/>
    <w:rsid w:val="00EA51A7"/>
    <w:rsid w:val="00EB48BA"/>
    <w:rsid w:val="00EB70F5"/>
    <w:rsid w:val="00EC2337"/>
    <w:rsid w:val="00EC418D"/>
    <w:rsid w:val="00ED40D5"/>
    <w:rsid w:val="00ED41EF"/>
    <w:rsid w:val="00F002E4"/>
    <w:rsid w:val="00F17FB9"/>
    <w:rsid w:val="00F218B2"/>
    <w:rsid w:val="00F21E2A"/>
    <w:rsid w:val="00F22922"/>
    <w:rsid w:val="00F25F8C"/>
    <w:rsid w:val="00F31180"/>
    <w:rsid w:val="00F35113"/>
    <w:rsid w:val="00F36C35"/>
    <w:rsid w:val="00F42403"/>
    <w:rsid w:val="00F43E23"/>
    <w:rsid w:val="00F474D0"/>
    <w:rsid w:val="00F517E1"/>
    <w:rsid w:val="00F55599"/>
    <w:rsid w:val="00F5770E"/>
    <w:rsid w:val="00F6113F"/>
    <w:rsid w:val="00F64984"/>
    <w:rsid w:val="00F7425A"/>
    <w:rsid w:val="00F86FE5"/>
    <w:rsid w:val="00F907FA"/>
    <w:rsid w:val="00F90DA4"/>
    <w:rsid w:val="00F90F43"/>
    <w:rsid w:val="00F937B6"/>
    <w:rsid w:val="00F96654"/>
    <w:rsid w:val="00FA57A0"/>
    <w:rsid w:val="00FA7181"/>
    <w:rsid w:val="00FB03CC"/>
    <w:rsid w:val="00FB1487"/>
    <w:rsid w:val="00FB250F"/>
    <w:rsid w:val="00FB4956"/>
    <w:rsid w:val="00FC2304"/>
    <w:rsid w:val="00FC56EA"/>
    <w:rsid w:val="00FD130D"/>
    <w:rsid w:val="00FD35A0"/>
    <w:rsid w:val="00FD633E"/>
    <w:rsid w:val="00FE28EC"/>
    <w:rsid w:val="00FF0D5B"/>
    <w:rsid w:val="00FF38A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24D76B5C"/>
  <w15:docId w15:val="{741EF0DA-F371-44CC-BA91-600751542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18"/>
        <w:szCs w:val="18"/>
        <w:lang w:val="en-A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42F"/>
    <w:pPr>
      <w:keepLines/>
      <w:suppressAutoHyphens/>
      <w:spacing w:after="120" w:line="260" w:lineRule="exact"/>
    </w:pPr>
    <w:rPr>
      <w:color w:val="333333"/>
    </w:rPr>
  </w:style>
  <w:style w:type="paragraph" w:styleId="Heading1">
    <w:name w:val="heading 1"/>
    <w:basedOn w:val="Normal"/>
    <w:next w:val="Normal"/>
    <w:qFormat/>
    <w:rsid w:val="00BF05A8"/>
    <w:pPr>
      <w:keepNext/>
      <w:spacing w:before="100" w:beforeAutospacing="1" w:after="560" w:line="240" w:lineRule="atLeast"/>
      <w:outlineLvl w:val="0"/>
    </w:pPr>
    <w:rPr>
      <w:rFonts w:ascii="Arial Bold" w:hAnsi="Arial Bold"/>
      <w:b/>
      <w:bCs/>
      <w:color w:val="404040" w:themeColor="text1" w:themeTint="BF"/>
      <w:kern w:val="32"/>
      <w:sz w:val="36"/>
      <w:szCs w:val="32"/>
    </w:rPr>
  </w:style>
  <w:style w:type="paragraph" w:styleId="Heading2">
    <w:name w:val="heading 2"/>
    <w:basedOn w:val="Heading1"/>
    <w:next w:val="Normal"/>
    <w:link w:val="Heading2Char"/>
    <w:qFormat/>
    <w:rsid w:val="00BF05A8"/>
    <w:pPr>
      <w:spacing w:before="480" w:beforeAutospacing="0" w:after="120"/>
      <w:outlineLvl w:val="1"/>
    </w:pPr>
    <w:rPr>
      <w:bCs w:val="0"/>
      <w:iCs/>
      <w:sz w:val="30"/>
      <w:szCs w:val="36"/>
    </w:rPr>
  </w:style>
  <w:style w:type="paragraph" w:styleId="Heading3">
    <w:name w:val="heading 3"/>
    <w:basedOn w:val="Heading1"/>
    <w:next w:val="Normal"/>
    <w:link w:val="Heading3Char"/>
    <w:qFormat/>
    <w:rsid w:val="00BF05A8"/>
    <w:pPr>
      <w:spacing w:before="480" w:beforeAutospacing="0" w:after="120"/>
      <w:outlineLvl w:val="2"/>
    </w:pPr>
    <w:rPr>
      <w:bCs w:val="0"/>
      <w:color w:val="333333"/>
      <w:sz w:val="24"/>
      <w:szCs w:val="28"/>
    </w:rPr>
  </w:style>
  <w:style w:type="paragraph" w:styleId="Heading4">
    <w:name w:val="heading 4"/>
    <w:basedOn w:val="Heading1"/>
    <w:next w:val="Normal"/>
    <w:link w:val="Heading4Char"/>
    <w:qFormat/>
    <w:rsid w:val="00AD46FD"/>
    <w:pPr>
      <w:spacing w:before="400" w:beforeAutospacing="0" w:after="120"/>
      <w:outlineLvl w:val="3"/>
    </w:pPr>
    <w:rPr>
      <w:bCs w:val="0"/>
      <w:i/>
      <w:color w:val="333333"/>
      <w:sz w:val="20"/>
      <w:szCs w:val="20"/>
    </w:rPr>
  </w:style>
  <w:style w:type="paragraph" w:styleId="Heading5">
    <w:name w:val="heading 5"/>
    <w:basedOn w:val="Heading1"/>
    <w:next w:val="Normal"/>
    <w:link w:val="Heading5Char"/>
    <w:qFormat/>
    <w:rsid w:val="008D253F"/>
    <w:pPr>
      <w:spacing w:before="400" w:beforeAutospacing="0" w:after="120"/>
      <w:outlineLvl w:val="4"/>
    </w:pPr>
    <w:rPr>
      <w:rFonts w:ascii="Arial" w:hAnsi="Arial"/>
      <w:b w:val="0"/>
      <w:bCs w:val="0"/>
      <w:i/>
      <w:iCs/>
      <w:sz w:val="20"/>
      <w:szCs w:val="20"/>
    </w:rPr>
  </w:style>
  <w:style w:type="paragraph" w:styleId="Heading6">
    <w:name w:val="heading 6"/>
    <w:basedOn w:val="Normal"/>
    <w:next w:val="Normal"/>
    <w:link w:val="Heading6Char"/>
    <w:semiHidden/>
    <w:qFormat/>
    <w:rsid w:val="008D253F"/>
    <w:pPr>
      <w:spacing w:before="240" w:after="60"/>
      <w:outlineLvl w:val="5"/>
    </w:pPr>
    <w:rPr>
      <w:rFonts w:ascii="Times New Roman" w:hAnsi="Times New Roman"/>
      <w:b/>
      <w:bCs/>
      <w:sz w:val="22"/>
    </w:rPr>
  </w:style>
  <w:style w:type="paragraph" w:styleId="Heading7">
    <w:name w:val="heading 7"/>
    <w:basedOn w:val="Normal"/>
    <w:next w:val="Normal"/>
    <w:link w:val="Heading7Char"/>
    <w:semiHidden/>
    <w:qFormat/>
    <w:rsid w:val="008D253F"/>
    <w:pPr>
      <w:spacing w:before="240" w:after="60"/>
      <w:outlineLvl w:val="6"/>
    </w:pPr>
    <w:rPr>
      <w:rFonts w:ascii="Times New Roman" w:hAnsi="Times New Roman"/>
      <w:sz w:val="24"/>
      <w:szCs w:val="24"/>
    </w:rPr>
  </w:style>
  <w:style w:type="paragraph" w:styleId="Heading8">
    <w:name w:val="heading 8"/>
    <w:basedOn w:val="Normal"/>
    <w:next w:val="Normal"/>
    <w:link w:val="Heading8Char"/>
    <w:semiHidden/>
    <w:qFormat/>
    <w:rsid w:val="008D253F"/>
    <w:pPr>
      <w:spacing w:before="240" w:after="60"/>
      <w:outlineLvl w:val="7"/>
    </w:pPr>
    <w:rPr>
      <w:rFonts w:ascii="Times New Roman" w:hAnsi="Times New Roman"/>
      <w:i/>
      <w:iCs/>
      <w:sz w:val="24"/>
      <w:szCs w:val="24"/>
    </w:rPr>
  </w:style>
  <w:style w:type="paragraph" w:styleId="Heading9">
    <w:name w:val="heading 9"/>
    <w:basedOn w:val="Normal"/>
    <w:next w:val="Normal"/>
    <w:link w:val="Heading9Char"/>
    <w:semiHidden/>
    <w:qFormat/>
    <w:rsid w:val="008D253F"/>
    <w:pPr>
      <w:spacing w:before="240" w:after="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
    <w:name w:val="Definition"/>
    <w:semiHidden/>
    <w:rsid w:val="008D253F"/>
    <w:pPr>
      <w:spacing w:before="40" w:after="40" w:line="280" w:lineRule="atLeast"/>
    </w:pPr>
    <w:rPr>
      <w:rFonts w:cs="Arial"/>
      <w:sz w:val="22"/>
      <w:szCs w:val="22"/>
      <w:lang w:eastAsia="en-AU"/>
    </w:rPr>
  </w:style>
  <w:style w:type="character" w:styleId="Hyperlink">
    <w:name w:val="Hyperlink"/>
    <w:basedOn w:val="DefaultParagraphFont"/>
    <w:uiPriority w:val="99"/>
    <w:rsid w:val="008D253F"/>
    <w:rPr>
      <w:rFonts w:ascii="Arial" w:hAnsi="Arial"/>
      <w:color w:val="0000FF"/>
      <w:u w:val="none"/>
    </w:rPr>
  </w:style>
  <w:style w:type="character" w:styleId="PageNumber">
    <w:name w:val="page number"/>
    <w:basedOn w:val="DefaultParagraphFont"/>
    <w:rsid w:val="008D253F"/>
    <w:rPr>
      <w:rFonts w:ascii="Arial" w:hAnsi="Arial"/>
    </w:rPr>
  </w:style>
  <w:style w:type="table" w:styleId="TableGrid">
    <w:name w:val="Table Grid"/>
    <w:basedOn w:val="TableNormal"/>
    <w:rsid w:val="008D253F"/>
    <w:pPr>
      <w:keepLines/>
      <w:suppressAutoHyphens/>
      <w:spacing w:before="120" w:after="100" w:afterAutospacing="1"/>
      <w:contextualSpacing/>
      <w:jc w:val="right"/>
    </w:pPr>
    <w:rPr>
      <w:rFonts w:ascii="Myriad Pro" w:hAnsi="Myriad Pro"/>
      <w:color w:val="333333"/>
      <w:sz w:val="16"/>
    </w:rPr>
    <w:tblPr/>
    <w:tcPr>
      <w:shd w:val="clear" w:color="auto" w:fill="auto"/>
      <w:tcMar>
        <w:left w:w="57" w:type="dxa"/>
        <w:right w:w="57" w:type="dxa"/>
      </w:tcMar>
      <w:vAlign w:val="center"/>
    </w:tcPr>
  </w:style>
  <w:style w:type="numbering" w:customStyle="1" w:styleId="BulletTEXT">
    <w:name w:val="Bullet TEXT"/>
    <w:basedOn w:val="NoList"/>
    <w:rsid w:val="008D253F"/>
    <w:pPr>
      <w:numPr>
        <w:numId w:val="1"/>
      </w:numPr>
    </w:pPr>
  </w:style>
  <w:style w:type="numbering" w:customStyle="1" w:styleId="numberedLIST">
    <w:name w:val="numbered LIST"/>
    <w:basedOn w:val="NoList"/>
    <w:rsid w:val="008D253F"/>
    <w:pPr>
      <w:numPr>
        <w:numId w:val="2"/>
      </w:numPr>
    </w:pPr>
  </w:style>
  <w:style w:type="paragraph" w:styleId="Header">
    <w:name w:val="header"/>
    <w:basedOn w:val="Normal"/>
    <w:link w:val="HeaderChar"/>
    <w:uiPriority w:val="99"/>
    <w:rsid w:val="008D253F"/>
    <w:pPr>
      <w:tabs>
        <w:tab w:val="center" w:pos="4153"/>
        <w:tab w:val="right" w:pos="8306"/>
      </w:tabs>
    </w:pPr>
  </w:style>
  <w:style w:type="paragraph" w:styleId="Footer">
    <w:name w:val="footer"/>
    <w:basedOn w:val="Normal"/>
    <w:link w:val="FooterChar"/>
    <w:uiPriority w:val="99"/>
    <w:rsid w:val="008D253F"/>
    <w:pPr>
      <w:tabs>
        <w:tab w:val="center" w:pos="4153"/>
        <w:tab w:val="right" w:pos="8306"/>
      </w:tabs>
    </w:pPr>
  </w:style>
  <w:style w:type="paragraph" w:customStyle="1" w:styleId="HEADING-ReleaseArea">
    <w:name w:val="HEADING - Release Area"/>
    <w:basedOn w:val="Heading1"/>
    <w:semiHidden/>
    <w:rsid w:val="008D253F"/>
    <w:pPr>
      <w:spacing w:before="0" w:beforeAutospacing="0" w:after="240" w:line="360" w:lineRule="auto"/>
    </w:pPr>
    <w:rPr>
      <w:b w:val="0"/>
    </w:rPr>
  </w:style>
  <w:style w:type="paragraph" w:customStyle="1" w:styleId="Wellname">
    <w:name w:val="Well name"/>
    <w:basedOn w:val="Heading3"/>
    <w:semiHidden/>
    <w:rsid w:val="008D253F"/>
    <w:pPr>
      <w:spacing w:before="0"/>
    </w:pPr>
    <w:rPr>
      <w:smallCaps/>
      <w:color w:val="003366"/>
      <w:lang w:val="it-IT"/>
    </w:rPr>
  </w:style>
  <w:style w:type="table" w:customStyle="1" w:styleId="PSESTable">
    <w:name w:val="PSES Table"/>
    <w:basedOn w:val="TableNormal"/>
    <w:rsid w:val="008D253F"/>
    <w:rPr>
      <w:color w:val="333333"/>
    </w:rPr>
    <w:tblPr>
      <w:tblInd w:w="57" w:type="dxa"/>
    </w:tblPr>
  </w:style>
  <w:style w:type="table" w:customStyle="1" w:styleId="FiguresTableStyle">
    <w:name w:val="Figures Table Style"/>
    <w:basedOn w:val="PSESTable"/>
    <w:rsid w:val="008D253F"/>
    <w:tblPr/>
  </w:style>
  <w:style w:type="paragraph" w:customStyle="1" w:styleId="Figurecaptionstyle">
    <w:name w:val="Figure caption style"/>
    <w:basedOn w:val="Normal"/>
    <w:rsid w:val="008D253F"/>
    <w:pPr>
      <w:spacing w:line="240" w:lineRule="atLeast"/>
    </w:pPr>
  </w:style>
  <w:style w:type="paragraph" w:styleId="BalloonText">
    <w:name w:val="Balloon Text"/>
    <w:basedOn w:val="Normal"/>
    <w:semiHidden/>
    <w:rsid w:val="008D253F"/>
    <w:rPr>
      <w:rFonts w:ascii="Tahoma" w:hAnsi="Tahoma" w:cs="Tahoma"/>
      <w:sz w:val="16"/>
      <w:szCs w:val="16"/>
    </w:rPr>
  </w:style>
  <w:style w:type="paragraph" w:styleId="BodyText">
    <w:name w:val="Body Text"/>
    <w:basedOn w:val="Normal"/>
    <w:link w:val="BodyTextChar"/>
    <w:qFormat/>
    <w:rsid w:val="000D0586"/>
    <w:pPr>
      <w:keepLines w:val="0"/>
      <w:spacing w:line="240" w:lineRule="atLeast"/>
    </w:pPr>
    <w:rPr>
      <w:sz w:val="20"/>
    </w:rPr>
  </w:style>
  <w:style w:type="paragraph" w:styleId="BodyText2">
    <w:name w:val="Body Text 2"/>
    <w:basedOn w:val="Normal"/>
    <w:link w:val="BodyText2Char"/>
    <w:semiHidden/>
    <w:rsid w:val="008D253F"/>
    <w:pPr>
      <w:spacing w:line="480" w:lineRule="auto"/>
    </w:pPr>
  </w:style>
  <w:style w:type="paragraph" w:styleId="BodyText3">
    <w:name w:val="Body Text 3"/>
    <w:basedOn w:val="Normal"/>
    <w:link w:val="BodyText3Char"/>
    <w:semiHidden/>
    <w:rsid w:val="008D253F"/>
    <w:rPr>
      <w:sz w:val="16"/>
      <w:szCs w:val="16"/>
    </w:rPr>
  </w:style>
  <w:style w:type="paragraph" w:styleId="BodyTextFirstIndent">
    <w:name w:val="Body Text First Indent"/>
    <w:basedOn w:val="BodyText"/>
    <w:link w:val="BodyTextFirstIndentChar"/>
    <w:semiHidden/>
    <w:rsid w:val="008D253F"/>
    <w:pPr>
      <w:ind w:firstLine="210"/>
    </w:pPr>
  </w:style>
  <w:style w:type="paragraph" w:styleId="BodyTextIndent">
    <w:name w:val="Body Text Indent"/>
    <w:basedOn w:val="Normal"/>
    <w:link w:val="BodyTextIndentChar"/>
    <w:semiHidden/>
    <w:rsid w:val="008D253F"/>
    <w:pPr>
      <w:ind w:left="283"/>
    </w:pPr>
  </w:style>
  <w:style w:type="paragraph" w:styleId="BodyTextFirstIndent2">
    <w:name w:val="Body Text First Indent 2"/>
    <w:basedOn w:val="BodyTextIndent"/>
    <w:link w:val="BodyTextFirstIndent2Char"/>
    <w:semiHidden/>
    <w:rsid w:val="008D253F"/>
    <w:pPr>
      <w:ind w:firstLine="210"/>
    </w:pPr>
  </w:style>
  <w:style w:type="paragraph" w:styleId="BodyTextIndent2">
    <w:name w:val="Body Text Indent 2"/>
    <w:basedOn w:val="Normal"/>
    <w:link w:val="BodyTextIndent2Char"/>
    <w:semiHidden/>
    <w:rsid w:val="008D253F"/>
    <w:pPr>
      <w:spacing w:line="480" w:lineRule="auto"/>
      <w:ind w:left="283"/>
    </w:pPr>
  </w:style>
  <w:style w:type="paragraph" w:styleId="BodyTextIndent3">
    <w:name w:val="Body Text Indent 3"/>
    <w:basedOn w:val="Normal"/>
    <w:link w:val="BodyTextIndent3Char"/>
    <w:semiHidden/>
    <w:rsid w:val="008D253F"/>
    <w:pPr>
      <w:ind w:left="283"/>
    </w:pPr>
    <w:rPr>
      <w:sz w:val="16"/>
      <w:szCs w:val="16"/>
    </w:rPr>
  </w:style>
  <w:style w:type="paragraph" w:styleId="Caption">
    <w:name w:val="caption"/>
    <w:basedOn w:val="Normal"/>
    <w:next w:val="Normal"/>
    <w:qFormat/>
    <w:rsid w:val="008D253F"/>
    <w:pPr>
      <w:tabs>
        <w:tab w:val="left" w:pos="851"/>
      </w:tabs>
      <w:spacing w:line="240" w:lineRule="atLeast"/>
      <w:ind w:left="851" w:hanging="851"/>
    </w:pPr>
  </w:style>
  <w:style w:type="paragraph" w:styleId="Closing">
    <w:name w:val="Closing"/>
    <w:basedOn w:val="Normal"/>
    <w:link w:val="ClosingChar"/>
    <w:semiHidden/>
    <w:rsid w:val="008D253F"/>
    <w:pPr>
      <w:ind w:left="4252"/>
    </w:pPr>
  </w:style>
  <w:style w:type="paragraph" w:styleId="CommentText">
    <w:name w:val="annotation text"/>
    <w:basedOn w:val="Normal"/>
    <w:link w:val="CommentTextChar"/>
    <w:uiPriority w:val="99"/>
    <w:semiHidden/>
    <w:rsid w:val="008D253F"/>
    <w:rPr>
      <w:sz w:val="20"/>
      <w:szCs w:val="20"/>
    </w:rPr>
  </w:style>
  <w:style w:type="paragraph" w:styleId="CommentSubject">
    <w:name w:val="annotation subject"/>
    <w:basedOn w:val="CommentText"/>
    <w:next w:val="CommentText"/>
    <w:semiHidden/>
    <w:rsid w:val="008D253F"/>
    <w:rPr>
      <w:b/>
      <w:bCs/>
    </w:rPr>
  </w:style>
  <w:style w:type="paragraph" w:styleId="Date">
    <w:name w:val="Date"/>
    <w:basedOn w:val="Normal"/>
    <w:next w:val="Normal"/>
    <w:link w:val="DateChar"/>
    <w:semiHidden/>
    <w:rsid w:val="008D253F"/>
  </w:style>
  <w:style w:type="paragraph" w:styleId="DocumentMap">
    <w:name w:val="Document Map"/>
    <w:basedOn w:val="Normal"/>
    <w:link w:val="DocumentMapChar"/>
    <w:semiHidden/>
    <w:rsid w:val="008D253F"/>
    <w:pPr>
      <w:shd w:val="clear" w:color="auto" w:fill="000080"/>
    </w:pPr>
    <w:rPr>
      <w:rFonts w:ascii="Tahoma" w:hAnsi="Tahoma" w:cs="Tahoma"/>
    </w:rPr>
  </w:style>
  <w:style w:type="paragraph" w:styleId="E-mailSignature">
    <w:name w:val="E-mail Signature"/>
    <w:basedOn w:val="Normal"/>
    <w:link w:val="E-mailSignatureChar"/>
    <w:semiHidden/>
    <w:rsid w:val="008D253F"/>
  </w:style>
  <w:style w:type="paragraph" w:styleId="EndnoteText">
    <w:name w:val="endnote text"/>
    <w:basedOn w:val="Normal"/>
    <w:link w:val="EndnoteTextChar"/>
    <w:semiHidden/>
    <w:rsid w:val="008D253F"/>
    <w:rPr>
      <w:sz w:val="20"/>
      <w:szCs w:val="20"/>
    </w:rPr>
  </w:style>
  <w:style w:type="paragraph" w:styleId="EnvelopeAddress">
    <w:name w:val="envelope address"/>
    <w:basedOn w:val="Normal"/>
    <w:semiHidden/>
    <w:rsid w:val="008D253F"/>
    <w:pPr>
      <w:framePr w:w="7920" w:h="1980" w:hRule="exact" w:hSpace="180" w:wrap="auto" w:hAnchor="page" w:xAlign="center" w:yAlign="bottom"/>
      <w:ind w:left="2880"/>
    </w:pPr>
    <w:rPr>
      <w:sz w:val="24"/>
      <w:szCs w:val="24"/>
    </w:rPr>
  </w:style>
  <w:style w:type="paragraph" w:styleId="EnvelopeReturn">
    <w:name w:val="envelope return"/>
    <w:basedOn w:val="Normal"/>
    <w:semiHidden/>
    <w:rsid w:val="008D253F"/>
    <w:rPr>
      <w:sz w:val="20"/>
      <w:szCs w:val="20"/>
    </w:rPr>
  </w:style>
  <w:style w:type="paragraph" w:styleId="FootnoteText">
    <w:name w:val="footnote text"/>
    <w:basedOn w:val="Normal"/>
    <w:link w:val="FootnoteTextChar"/>
    <w:semiHidden/>
    <w:rsid w:val="008D253F"/>
    <w:rPr>
      <w:sz w:val="20"/>
      <w:szCs w:val="20"/>
    </w:rPr>
  </w:style>
  <w:style w:type="paragraph" w:styleId="HTMLAddress">
    <w:name w:val="HTML Address"/>
    <w:basedOn w:val="Normal"/>
    <w:link w:val="HTMLAddressChar"/>
    <w:semiHidden/>
    <w:rsid w:val="008D253F"/>
    <w:rPr>
      <w:i/>
      <w:iCs/>
    </w:rPr>
  </w:style>
  <w:style w:type="paragraph" w:styleId="HTMLPreformatted">
    <w:name w:val="HTML Preformatted"/>
    <w:basedOn w:val="Normal"/>
    <w:link w:val="HTMLPreformattedChar"/>
    <w:semiHidden/>
    <w:rsid w:val="008D253F"/>
    <w:rPr>
      <w:rFonts w:ascii="Courier New" w:hAnsi="Courier New" w:cs="Courier New"/>
      <w:sz w:val="20"/>
      <w:szCs w:val="20"/>
    </w:rPr>
  </w:style>
  <w:style w:type="paragraph" w:styleId="Index1">
    <w:name w:val="index 1"/>
    <w:basedOn w:val="Normal"/>
    <w:next w:val="Normal"/>
    <w:autoRedefine/>
    <w:semiHidden/>
    <w:rsid w:val="008D253F"/>
    <w:pPr>
      <w:ind w:left="180" w:hanging="180"/>
    </w:pPr>
  </w:style>
  <w:style w:type="paragraph" w:styleId="Index2">
    <w:name w:val="index 2"/>
    <w:basedOn w:val="Normal"/>
    <w:next w:val="Normal"/>
    <w:autoRedefine/>
    <w:semiHidden/>
    <w:rsid w:val="008D253F"/>
    <w:pPr>
      <w:ind w:left="360" w:hanging="180"/>
    </w:pPr>
  </w:style>
  <w:style w:type="paragraph" w:styleId="Index3">
    <w:name w:val="index 3"/>
    <w:basedOn w:val="Normal"/>
    <w:next w:val="Normal"/>
    <w:autoRedefine/>
    <w:semiHidden/>
    <w:rsid w:val="008D253F"/>
    <w:pPr>
      <w:ind w:left="540" w:hanging="180"/>
    </w:pPr>
  </w:style>
  <w:style w:type="paragraph" w:styleId="Index4">
    <w:name w:val="index 4"/>
    <w:basedOn w:val="Normal"/>
    <w:next w:val="Normal"/>
    <w:autoRedefine/>
    <w:semiHidden/>
    <w:rsid w:val="008D253F"/>
    <w:pPr>
      <w:ind w:left="720" w:hanging="180"/>
    </w:pPr>
  </w:style>
  <w:style w:type="paragraph" w:styleId="Index5">
    <w:name w:val="index 5"/>
    <w:basedOn w:val="Normal"/>
    <w:next w:val="Normal"/>
    <w:autoRedefine/>
    <w:semiHidden/>
    <w:rsid w:val="008D253F"/>
    <w:pPr>
      <w:ind w:left="900" w:hanging="180"/>
    </w:pPr>
  </w:style>
  <w:style w:type="paragraph" w:styleId="Index6">
    <w:name w:val="index 6"/>
    <w:basedOn w:val="Normal"/>
    <w:next w:val="Normal"/>
    <w:autoRedefine/>
    <w:semiHidden/>
    <w:rsid w:val="008D253F"/>
    <w:pPr>
      <w:ind w:left="1080" w:hanging="180"/>
    </w:pPr>
  </w:style>
  <w:style w:type="paragraph" w:styleId="Index7">
    <w:name w:val="index 7"/>
    <w:basedOn w:val="Normal"/>
    <w:next w:val="Normal"/>
    <w:autoRedefine/>
    <w:semiHidden/>
    <w:rsid w:val="008D253F"/>
    <w:pPr>
      <w:ind w:left="1260" w:hanging="180"/>
    </w:pPr>
  </w:style>
  <w:style w:type="paragraph" w:styleId="Index8">
    <w:name w:val="index 8"/>
    <w:basedOn w:val="Normal"/>
    <w:next w:val="Normal"/>
    <w:autoRedefine/>
    <w:semiHidden/>
    <w:rsid w:val="008D253F"/>
    <w:pPr>
      <w:ind w:left="1440" w:hanging="180"/>
    </w:pPr>
  </w:style>
  <w:style w:type="paragraph" w:styleId="Index9">
    <w:name w:val="index 9"/>
    <w:basedOn w:val="Normal"/>
    <w:next w:val="Normal"/>
    <w:autoRedefine/>
    <w:semiHidden/>
    <w:rsid w:val="008D253F"/>
    <w:pPr>
      <w:ind w:left="1620" w:hanging="180"/>
    </w:pPr>
  </w:style>
  <w:style w:type="paragraph" w:styleId="IndexHeading">
    <w:name w:val="index heading"/>
    <w:basedOn w:val="Normal"/>
    <w:next w:val="Index1"/>
    <w:semiHidden/>
    <w:rsid w:val="008D253F"/>
    <w:rPr>
      <w:b/>
      <w:bCs/>
    </w:rPr>
  </w:style>
  <w:style w:type="paragraph" w:styleId="List">
    <w:name w:val="List"/>
    <w:basedOn w:val="Normal"/>
    <w:semiHidden/>
    <w:rsid w:val="008D253F"/>
    <w:pPr>
      <w:ind w:left="283" w:hanging="283"/>
    </w:pPr>
  </w:style>
  <w:style w:type="paragraph" w:styleId="List2">
    <w:name w:val="List 2"/>
    <w:basedOn w:val="Normal"/>
    <w:semiHidden/>
    <w:rsid w:val="008D253F"/>
    <w:pPr>
      <w:ind w:left="566" w:hanging="283"/>
    </w:pPr>
  </w:style>
  <w:style w:type="paragraph" w:styleId="List3">
    <w:name w:val="List 3"/>
    <w:basedOn w:val="Normal"/>
    <w:semiHidden/>
    <w:rsid w:val="008D253F"/>
    <w:pPr>
      <w:ind w:left="849" w:hanging="283"/>
    </w:pPr>
  </w:style>
  <w:style w:type="paragraph" w:styleId="List4">
    <w:name w:val="List 4"/>
    <w:basedOn w:val="Normal"/>
    <w:semiHidden/>
    <w:rsid w:val="008D253F"/>
    <w:pPr>
      <w:ind w:left="1132" w:hanging="283"/>
    </w:pPr>
  </w:style>
  <w:style w:type="paragraph" w:styleId="List5">
    <w:name w:val="List 5"/>
    <w:basedOn w:val="Normal"/>
    <w:semiHidden/>
    <w:rsid w:val="008D253F"/>
    <w:pPr>
      <w:ind w:left="1415" w:hanging="283"/>
    </w:pPr>
  </w:style>
  <w:style w:type="paragraph" w:styleId="ListBullet">
    <w:name w:val="List Bullet"/>
    <w:basedOn w:val="Normal"/>
    <w:autoRedefine/>
    <w:rsid w:val="00485941"/>
    <w:pPr>
      <w:numPr>
        <w:numId w:val="4"/>
      </w:numPr>
      <w:tabs>
        <w:tab w:val="clear" w:pos="360"/>
        <w:tab w:val="num" w:pos="717"/>
      </w:tabs>
      <w:ind w:left="717"/>
    </w:pPr>
  </w:style>
  <w:style w:type="paragraph" w:styleId="ListBullet2">
    <w:name w:val="List Bullet 2"/>
    <w:basedOn w:val="Normal"/>
    <w:autoRedefine/>
    <w:semiHidden/>
    <w:rsid w:val="008D253F"/>
    <w:pPr>
      <w:tabs>
        <w:tab w:val="num" w:pos="643"/>
      </w:tabs>
      <w:ind w:left="643" w:hanging="360"/>
    </w:pPr>
  </w:style>
  <w:style w:type="paragraph" w:styleId="ListBullet3">
    <w:name w:val="List Bullet 3"/>
    <w:basedOn w:val="Normal"/>
    <w:autoRedefine/>
    <w:semiHidden/>
    <w:rsid w:val="008D253F"/>
    <w:pPr>
      <w:numPr>
        <w:numId w:val="5"/>
      </w:numPr>
    </w:pPr>
  </w:style>
  <w:style w:type="paragraph" w:styleId="ListBullet4">
    <w:name w:val="List Bullet 4"/>
    <w:basedOn w:val="Normal"/>
    <w:autoRedefine/>
    <w:semiHidden/>
    <w:rsid w:val="008D253F"/>
    <w:pPr>
      <w:numPr>
        <w:numId w:val="6"/>
      </w:numPr>
    </w:pPr>
  </w:style>
  <w:style w:type="paragraph" w:styleId="ListBullet5">
    <w:name w:val="List Bullet 5"/>
    <w:basedOn w:val="Normal"/>
    <w:autoRedefine/>
    <w:semiHidden/>
    <w:rsid w:val="008D253F"/>
    <w:pPr>
      <w:numPr>
        <w:numId w:val="7"/>
      </w:numPr>
    </w:pPr>
  </w:style>
  <w:style w:type="paragraph" w:styleId="ListContinue">
    <w:name w:val="List Continue"/>
    <w:basedOn w:val="Normal"/>
    <w:rsid w:val="008D253F"/>
    <w:pPr>
      <w:ind w:left="283"/>
    </w:pPr>
  </w:style>
  <w:style w:type="paragraph" w:styleId="ListContinue2">
    <w:name w:val="List Continue 2"/>
    <w:basedOn w:val="Normal"/>
    <w:semiHidden/>
    <w:rsid w:val="008D253F"/>
    <w:pPr>
      <w:ind w:left="566"/>
    </w:pPr>
  </w:style>
  <w:style w:type="paragraph" w:styleId="ListContinue3">
    <w:name w:val="List Continue 3"/>
    <w:basedOn w:val="Normal"/>
    <w:semiHidden/>
    <w:rsid w:val="008D253F"/>
    <w:pPr>
      <w:ind w:left="849"/>
    </w:pPr>
  </w:style>
  <w:style w:type="paragraph" w:styleId="ListContinue4">
    <w:name w:val="List Continue 4"/>
    <w:basedOn w:val="Normal"/>
    <w:semiHidden/>
    <w:rsid w:val="008D253F"/>
    <w:pPr>
      <w:ind w:left="1132"/>
    </w:pPr>
  </w:style>
  <w:style w:type="paragraph" w:styleId="ListContinue5">
    <w:name w:val="List Continue 5"/>
    <w:basedOn w:val="Normal"/>
    <w:semiHidden/>
    <w:rsid w:val="008D253F"/>
    <w:pPr>
      <w:ind w:left="1415"/>
    </w:pPr>
  </w:style>
  <w:style w:type="paragraph" w:styleId="ListNumber">
    <w:name w:val="List Number"/>
    <w:basedOn w:val="Normal"/>
    <w:rsid w:val="008D253F"/>
    <w:pPr>
      <w:numPr>
        <w:numId w:val="9"/>
      </w:numPr>
      <w:spacing w:line="240" w:lineRule="atLeast"/>
    </w:pPr>
  </w:style>
  <w:style w:type="paragraph" w:styleId="ListNumber2">
    <w:name w:val="List Number 2"/>
    <w:basedOn w:val="Normal"/>
    <w:semiHidden/>
    <w:rsid w:val="008D253F"/>
    <w:pPr>
      <w:numPr>
        <w:numId w:val="10"/>
      </w:numPr>
    </w:pPr>
  </w:style>
  <w:style w:type="paragraph" w:styleId="ListNumber3">
    <w:name w:val="List Number 3"/>
    <w:basedOn w:val="Normal"/>
    <w:semiHidden/>
    <w:rsid w:val="008D253F"/>
    <w:pPr>
      <w:numPr>
        <w:numId w:val="11"/>
      </w:numPr>
    </w:pPr>
  </w:style>
  <w:style w:type="paragraph" w:styleId="ListNumber4">
    <w:name w:val="List Number 4"/>
    <w:basedOn w:val="Normal"/>
    <w:semiHidden/>
    <w:rsid w:val="008D253F"/>
    <w:pPr>
      <w:numPr>
        <w:numId w:val="12"/>
      </w:numPr>
    </w:pPr>
  </w:style>
  <w:style w:type="paragraph" w:styleId="ListNumber5">
    <w:name w:val="List Number 5"/>
    <w:basedOn w:val="Normal"/>
    <w:semiHidden/>
    <w:rsid w:val="008D253F"/>
    <w:pPr>
      <w:numPr>
        <w:numId w:val="13"/>
      </w:numPr>
    </w:pPr>
  </w:style>
  <w:style w:type="paragraph" w:styleId="MacroText">
    <w:name w:val="macro"/>
    <w:link w:val="MacroTextChar"/>
    <w:semiHidden/>
    <w:rsid w:val="008D253F"/>
    <w:pPr>
      <w:keepLines/>
      <w:tabs>
        <w:tab w:val="left" w:pos="480"/>
        <w:tab w:val="left" w:pos="960"/>
        <w:tab w:val="left" w:pos="1440"/>
        <w:tab w:val="left" w:pos="1920"/>
        <w:tab w:val="left" w:pos="2400"/>
        <w:tab w:val="left" w:pos="2880"/>
        <w:tab w:val="left" w:pos="3360"/>
        <w:tab w:val="left" w:pos="3840"/>
        <w:tab w:val="left" w:pos="4320"/>
      </w:tabs>
      <w:suppressAutoHyphens/>
      <w:spacing w:before="40" w:after="40" w:line="360" w:lineRule="auto"/>
    </w:pPr>
    <w:rPr>
      <w:rFonts w:ascii="Courier New" w:hAnsi="Courier New" w:cs="Courier New"/>
      <w:color w:val="333333"/>
      <w:sz w:val="24"/>
      <w:szCs w:val="24"/>
      <w:lang w:eastAsia="en-AU"/>
    </w:rPr>
  </w:style>
  <w:style w:type="paragraph" w:styleId="MessageHeader">
    <w:name w:val="Message Header"/>
    <w:basedOn w:val="Normal"/>
    <w:link w:val="MessageHeaderChar"/>
    <w:semiHidden/>
    <w:rsid w:val="008D253F"/>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semiHidden/>
    <w:rsid w:val="008D253F"/>
    <w:rPr>
      <w:rFonts w:ascii="Times New Roman" w:hAnsi="Times New Roman"/>
      <w:sz w:val="24"/>
      <w:szCs w:val="24"/>
    </w:rPr>
  </w:style>
  <w:style w:type="paragraph" w:styleId="NormalIndent">
    <w:name w:val="Normal Indent"/>
    <w:basedOn w:val="Normal"/>
    <w:semiHidden/>
    <w:rsid w:val="008D253F"/>
    <w:pPr>
      <w:ind w:left="720"/>
    </w:pPr>
  </w:style>
  <w:style w:type="paragraph" w:styleId="NoteHeading">
    <w:name w:val="Note Heading"/>
    <w:basedOn w:val="Normal"/>
    <w:next w:val="Normal"/>
    <w:link w:val="NoteHeadingChar"/>
    <w:semiHidden/>
    <w:rsid w:val="008D253F"/>
  </w:style>
  <w:style w:type="paragraph" w:styleId="PlainText">
    <w:name w:val="Plain Text"/>
    <w:basedOn w:val="Normal"/>
    <w:link w:val="PlainTextChar"/>
    <w:rsid w:val="008D253F"/>
    <w:rPr>
      <w:rFonts w:ascii="Courier New" w:hAnsi="Courier New" w:cs="Courier New"/>
      <w:sz w:val="20"/>
      <w:szCs w:val="20"/>
    </w:rPr>
  </w:style>
  <w:style w:type="paragraph" w:styleId="Salutation">
    <w:name w:val="Salutation"/>
    <w:basedOn w:val="Normal"/>
    <w:next w:val="Normal"/>
    <w:link w:val="SalutationChar"/>
    <w:semiHidden/>
    <w:rsid w:val="008D253F"/>
  </w:style>
  <w:style w:type="paragraph" w:styleId="Signature">
    <w:name w:val="Signature"/>
    <w:basedOn w:val="Normal"/>
    <w:link w:val="SignatureChar"/>
    <w:semiHidden/>
    <w:rsid w:val="008D253F"/>
    <w:pPr>
      <w:ind w:left="4252"/>
    </w:pPr>
  </w:style>
  <w:style w:type="paragraph" w:styleId="Subtitle">
    <w:name w:val="Subtitle"/>
    <w:basedOn w:val="Normal"/>
    <w:link w:val="SubtitleChar"/>
    <w:qFormat/>
    <w:rsid w:val="008D253F"/>
    <w:pPr>
      <w:spacing w:after="640" w:line="220" w:lineRule="exact"/>
      <w:outlineLvl w:val="1"/>
    </w:pPr>
    <w:rPr>
      <w:color w:val="FFFFFF"/>
      <w:sz w:val="23"/>
      <w:szCs w:val="28"/>
    </w:rPr>
  </w:style>
  <w:style w:type="paragraph" w:styleId="TableofAuthorities">
    <w:name w:val="table of authorities"/>
    <w:basedOn w:val="Normal"/>
    <w:next w:val="Normal"/>
    <w:semiHidden/>
    <w:rsid w:val="008D253F"/>
    <w:pPr>
      <w:ind w:left="180" w:hanging="180"/>
    </w:pPr>
  </w:style>
  <w:style w:type="paragraph" w:styleId="TableofFigures">
    <w:name w:val="table of figures"/>
    <w:basedOn w:val="Normal"/>
    <w:next w:val="Normal"/>
    <w:rsid w:val="008D253F"/>
    <w:pPr>
      <w:ind w:left="360" w:hanging="360"/>
    </w:pPr>
  </w:style>
  <w:style w:type="paragraph" w:styleId="Title">
    <w:name w:val="Title"/>
    <w:basedOn w:val="Normal"/>
    <w:link w:val="TitleChar"/>
    <w:qFormat/>
    <w:rsid w:val="008D253F"/>
    <w:pPr>
      <w:spacing w:after="920" w:line="240" w:lineRule="atLeast"/>
      <w:outlineLvl w:val="0"/>
    </w:pPr>
    <w:rPr>
      <w:bCs/>
      <w:caps/>
      <w:color w:val="auto"/>
      <w:spacing w:val="-8"/>
      <w:kern w:val="28"/>
      <w:sz w:val="32"/>
      <w:szCs w:val="34"/>
    </w:rPr>
  </w:style>
  <w:style w:type="paragraph" w:styleId="TOAHeading">
    <w:name w:val="toa heading"/>
    <w:basedOn w:val="Normal"/>
    <w:next w:val="Normal"/>
    <w:semiHidden/>
    <w:rsid w:val="008D253F"/>
    <w:pPr>
      <w:spacing w:before="120"/>
    </w:pPr>
    <w:rPr>
      <w:b/>
      <w:bCs/>
      <w:sz w:val="24"/>
      <w:szCs w:val="24"/>
    </w:rPr>
  </w:style>
  <w:style w:type="paragraph" w:styleId="TOC1">
    <w:name w:val="toc 1"/>
    <w:basedOn w:val="Normal"/>
    <w:next w:val="Normal"/>
    <w:autoRedefine/>
    <w:semiHidden/>
    <w:rsid w:val="008D253F"/>
  </w:style>
  <w:style w:type="paragraph" w:styleId="TOC2">
    <w:name w:val="toc 2"/>
    <w:basedOn w:val="Normal"/>
    <w:next w:val="Normal"/>
    <w:autoRedefine/>
    <w:semiHidden/>
    <w:rsid w:val="008D253F"/>
    <w:pPr>
      <w:ind w:left="180"/>
    </w:pPr>
  </w:style>
  <w:style w:type="paragraph" w:styleId="TOC3">
    <w:name w:val="toc 3"/>
    <w:basedOn w:val="Normal"/>
    <w:next w:val="Normal"/>
    <w:autoRedefine/>
    <w:semiHidden/>
    <w:rsid w:val="008D253F"/>
    <w:pPr>
      <w:ind w:left="360"/>
    </w:pPr>
  </w:style>
  <w:style w:type="paragraph" w:styleId="TOC4">
    <w:name w:val="toc 4"/>
    <w:basedOn w:val="Normal"/>
    <w:next w:val="Normal"/>
    <w:autoRedefine/>
    <w:semiHidden/>
    <w:rsid w:val="008D253F"/>
    <w:pPr>
      <w:ind w:left="540"/>
    </w:pPr>
  </w:style>
  <w:style w:type="paragraph" w:styleId="TOC5">
    <w:name w:val="toc 5"/>
    <w:basedOn w:val="Normal"/>
    <w:next w:val="Normal"/>
    <w:autoRedefine/>
    <w:semiHidden/>
    <w:rsid w:val="008D253F"/>
    <w:pPr>
      <w:ind w:left="720"/>
    </w:pPr>
  </w:style>
  <w:style w:type="paragraph" w:styleId="TOC6">
    <w:name w:val="toc 6"/>
    <w:basedOn w:val="Normal"/>
    <w:next w:val="Normal"/>
    <w:autoRedefine/>
    <w:semiHidden/>
    <w:rsid w:val="008D253F"/>
    <w:pPr>
      <w:ind w:left="900"/>
    </w:pPr>
  </w:style>
  <w:style w:type="paragraph" w:styleId="TOC7">
    <w:name w:val="toc 7"/>
    <w:basedOn w:val="Normal"/>
    <w:next w:val="Normal"/>
    <w:autoRedefine/>
    <w:semiHidden/>
    <w:rsid w:val="008D253F"/>
    <w:pPr>
      <w:ind w:left="1080"/>
    </w:pPr>
  </w:style>
  <w:style w:type="paragraph" w:styleId="TOC8">
    <w:name w:val="toc 8"/>
    <w:basedOn w:val="Normal"/>
    <w:next w:val="Normal"/>
    <w:autoRedefine/>
    <w:semiHidden/>
    <w:rsid w:val="008D253F"/>
    <w:pPr>
      <w:ind w:left="1260"/>
    </w:pPr>
  </w:style>
  <w:style w:type="paragraph" w:styleId="TOC9">
    <w:name w:val="toc 9"/>
    <w:basedOn w:val="Normal"/>
    <w:next w:val="Normal"/>
    <w:autoRedefine/>
    <w:semiHidden/>
    <w:rsid w:val="008D253F"/>
    <w:pPr>
      <w:ind w:left="1440"/>
    </w:pPr>
  </w:style>
  <w:style w:type="character" w:customStyle="1" w:styleId="Heading4Char">
    <w:name w:val="Heading 4 Char"/>
    <w:basedOn w:val="DefaultParagraphFont"/>
    <w:link w:val="Heading4"/>
    <w:rsid w:val="00AD46FD"/>
    <w:rPr>
      <w:rFonts w:ascii="Arial Bold" w:hAnsi="Arial Bold"/>
      <w:b/>
      <w:i/>
      <w:color w:val="333333"/>
      <w:kern w:val="32"/>
      <w:sz w:val="20"/>
      <w:szCs w:val="20"/>
    </w:rPr>
  </w:style>
  <w:style w:type="character" w:customStyle="1" w:styleId="Heading2Char">
    <w:name w:val="Heading 2 Char"/>
    <w:basedOn w:val="DefaultParagraphFont"/>
    <w:link w:val="Heading2"/>
    <w:rsid w:val="00BF05A8"/>
    <w:rPr>
      <w:rFonts w:ascii="Arial Bold" w:hAnsi="Arial Bold"/>
      <w:b/>
      <w:iCs/>
      <w:color w:val="404040" w:themeColor="text1" w:themeTint="BF"/>
      <w:kern w:val="32"/>
      <w:sz w:val="30"/>
      <w:szCs w:val="36"/>
    </w:rPr>
  </w:style>
  <w:style w:type="character" w:styleId="FollowedHyperlink">
    <w:name w:val="FollowedHyperlink"/>
    <w:basedOn w:val="DefaultParagraphFont"/>
    <w:semiHidden/>
    <w:rsid w:val="009F68CC"/>
    <w:rPr>
      <w:color w:val="800080"/>
      <w:u w:val="none"/>
    </w:rPr>
  </w:style>
  <w:style w:type="character" w:styleId="CommentReference">
    <w:name w:val="annotation reference"/>
    <w:basedOn w:val="DefaultParagraphFont"/>
    <w:uiPriority w:val="99"/>
    <w:semiHidden/>
    <w:rsid w:val="008D253F"/>
    <w:rPr>
      <w:sz w:val="16"/>
      <w:szCs w:val="16"/>
    </w:rPr>
  </w:style>
  <w:style w:type="paragraph" w:customStyle="1" w:styleId="Figuresandimages">
    <w:name w:val="Figures and images"/>
    <w:basedOn w:val="Normal"/>
    <w:qFormat/>
    <w:rsid w:val="008D253F"/>
    <w:pPr>
      <w:keepNext/>
      <w:spacing w:line="240" w:lineRule="auto"/>
    </w:pPr>
    <w:rPr>
      <w:b/>
    </w:rPr>
  </w:style>
  <w:style w:type="paragraph" w:customStyle="1" w:styleId="Figureandimagescentred">
    <w:name w:val="Figure and images centred"/>
    <w:basedOn w:val="Figuresandimagesleft"/>
    <w:qFormat/>
    <w:rsid w:val="008D253F"/>
    <w:pPr>
      <w:jc w:val="center"/>
    </w:pPr>
    <w:rPr>
      <w:lang w:val="it-IT"/>
    </w:rPr>
  </w:style>
  <w:style w:type="paragraph" w:customStyle="1" w:styleId="Heading3-After">
    <w:name w:val="Heading 3 - After"/>
    <w:basedOn w:val="Heading3"/>
    <w:qFormat/>
    <w:rsid w:val="008D253F"/>
    <w:pPr>
      <w:spacing w:before="280"/>
    </w:pPr>
  </w:style>
  <w:style w:type="paragraph" w:customStyle="1" w:styleId="ListBulletINTRO">
    <w:name w:val="List Bullet INTRO"/>
    <w:basedOn w:val="Normal"/>
    <w:qFormat/>
    <w:rsid w:val="008D253F"/>
    <w:pPr>
      <w:numPr>
        <w:numId w:val="8"/>
      </w:numPr>
      <w:spacing w:line="240" w:lineRule="exact"/>
    </w:pPr>
    <w:rPr>
      <w:rFonts w:ascii="Arial Bold" w:hAnsi="Arial Bold"/>
      <w:b/>
      <w:color w:val="003366"/>
      <w:sz w:val="20"/>
    </w:rPr>
  </w:style>
  <w:style w:type="paragraph" w:styleId="ListParagraph">
    <w:name w:val="List Paragraph"/>
    <w:basedOn w:val="Normal"/>
    <w:uiPriority w:val="34"/>
    <w:semiHidden/>
    <w:qFormat/>
    <w:rsid w:val="008D253F"/>
    <w:pPr>
      <w:ind w:left="720"/>
      <w:contextualSpacing/>
    </w:pPr>
  </w:style>
  <w:style w:type="paragraph" w:customStyle="1" w:styleId="Normal-References">
    <w:name w:val="Normal - References"/>
    <w:basedOn w:val="Normal"/>
    <w:semiHidden/>
    <w:qFormat/>
    <w:rsid w:val="008D253F"/>
    <w:pPr>
      <w:spacing w:line="240" w:lineRule="exact"/>
    </w:pPr>
  </w:style>
  <w:style w:type="character" w:customStyle="1" w:styleId="ExampleText">
    <w:name w:val="Example Text"/>
    <w:basedOn w:val="DefaultParagraphFont"/>
    <w:semiHidden/>
    <w:rsid w:val="008D253F"/>
    <w:rPr>
      <w:color w:val="808080"/>
    </w:rPr>
  </w:style>
  <w:style w:type="character" w:customStyle="1" w:styleId="StyleGray-50">
    <w:name w:val="Style Gray-50%"/>
    <w:basedOn w:val="DefaultParagraphFont"/>
    <w:semiHidden/>
    <w:rsid w:val="008D253F"/>
    <w:rPr>
      <w:color w:val="808080"/>
    </w:rPr>
  </w:style>
  <w:style w:type="character" w:styleId="Strong">
    <w:name w:val="Strong"/>
    <w:basedOn w:val="DefaultParagraphFont"/>
    <w:semiHidden/>
    <w:qFormat/>
    <w:rsid w:val="008D253F"/>
    <w:rPr>
      <w:b/>
      <w:bCs/>
    </w:rPr>
  </w:style>
  <w:style w:type="character" w:styleId="Emphasis">
    <w:name w:val="Emphasis"/>
    <w:basedOn w:val="DefaultParagraphFont"/>
    <w:uiPriority w:val="20"/>
    <w:qFormat/>
    <w:rsid w:val="008D253F"/>
    <w:rPr>
      <w:i/>
      <w:iCs/>
    </w:rPr>
  </w:style>
  <w:style w:type="paragraph" w:customStyle="1" w:styleId="Style1">
    <w:name w:val="Style1"/>
    <w:basedOn w:val="Wellname"/>
    <w:semiHidden/>
    <w:rsid w:val="008D253F"/>
    <w:rPr>
      <w:b w:val="0"/>
      <w:bCs/>
      <w:color w:val="auto"/>
      <w:sz w:val="16"/>
      <w:szCs w:val="18"/>
      <w:lang w:val="en-AU"/>
    </w:rPr>
  </w:style>
  <w:style w:type="paragraph" w:customStyle="1" w:styleId="Style2">
    <w:name w:val="Style2"/>
    <w:basedOn w:val="Heading3"/>
    <w:next w:val="Normal"/>
    <w:semiHidden/>
    <w:rsid w:val="008D253F"/>
    <w:rPr>
      <w:i/>
      <w:sz w:val="18"/>
    </w:rPr>
  </w:style>
  <w:style w:type="character" w:customStyle="1" w:styleId="Heading5Char">
    <w:name w:val="Heading 5 Char"/>
    <w:basedOn w:val="DefaultParagraphFont"/>
    <w:link w:val="Heading5"/>
    <w:rsid w:val="008D253F"/>
    <w:rPr>
      <w:i/>
      <w:iCs/>
      <w:kern w:val="32"/>
      <w:sz w:val="20"/>
      <w:szCs w:val="20"/>
    </w:rPr>
  </w:style>
  <w:style w:type="character" w:customStyle="1" w:styleId="SubtitleChar">
    <w:name w:val="Subtitle Char"/>
    <w:basedOn w:val="DefaultParagraphFont"/>
    <w:link w:val="Subtitle"/>
    <w:rsid w:val="008D253F"/>
    <w:rPr>
      <w:color w:val="FFFFFF"/>
      <w:sz w:val="23"/>
      <w:szCs w:val="28"/>
    </w:rPr>
  </w:style>
  <w:style w:type="character" w:customStyle="1" w:styleId="TitleChar">
    <w:name w:val="Title Char"/>
    <w:basedOn w:val="DefaultParagraphFont"/>
    <w:link w:val="Title"/>
    <w:rsid w:val="008D253F"/>
    <w:rPr>
      <w:bCs/>
      <w:caps/>
      <w:spacing w:val="-8"/>
      <w:kern w:val="28"/>
      <w:sz w:val="32"/>
      <w:szCs w:val="34"/>
    </w:rPr>
  </w:style>
  <w:style w:type="character" w:customStyle="1" w:styleId="BodyTextChar">
    <w:name w:val="Body Text Char"/>
    <w:basedOn w:val="DefaultParagraphFont"/>
    <w:link w:val="BodyText"/>
    <w:rsid w:val="000D0586"/>
    <w:rPr>
      <w:color w:val="333333"/>
      <w:sz w:val="20"/>
    </w:rPr>
  </w:style>
  <w:style w:type="character" w:customStyle="1" w:styleId="BodyText2Char">
    <w:name w:val="Body Text 2 Char"/>
    <w:basedOn w:val="DefaultParagraphFont"/>
    <w:link w:val="BodyText2"/>
    <w:semiHidden/>
    <w:rsid w:val="008D253F"/>
    <w:rPr>
      <w:color w:val="333333"/>
    </w:rPr>
  </w:style>
  <w:style w:type="character" w:customStyle="1" w:styleId="BodyText3Char">
    <w:name w:val="Body Text 3 Char"/>
    <w:basedOn w:val="DefaultParagraphFont"/>
    <w:link w:val="BodyText3"/>
    <w:semiHidden/>
    <w:rsid w:val="008D253F"/>
    <w:rPr>
      <w:color w:val="333333"/>
      <w:sz w:val="16"/>
      <w:szCs w:val="16"/>
    </w:rPr>
  </w:style>
  <w:style w:type="character" w:customStyle="1" w:styleId="BodyTextFirstIndentChar">
    <w:name w:val="Body Text First Indent Char"/>
    <w:basedOn w:val="BodyTextChar"/>
    <w:link w:val="BodyTextFirstIndent"/>
    <w:semiHidden/>
    <w:rsid w:val="008D253F"/>
    <w:rPr>
      <w:color w:val="333333"/>
      <w:sz w:val="20"/>
    </w:rPr>
  </w:style>
  <w:style w:type="character" w:customStyle="1" w:styleId="BodyTextIndentChar">
    <w:name w:val="Body Text Indent Char"/>
    <w:basedOn w:val="DefaultParagraphFont"/>
    <w:link w:val="BodyTextIndent"/>
    <w:semiHidden/>
    <w:rsid w:val="008D253F"/>
    <w:rPr>
      <w:color w:val="333333"/>
    </w:rPr>
  </w:style>
  <w:style w:type="character" w:customStyle="1" w:styleId="BodyTextFirstIndent2Char">
    <w:name w:val="Body Text First Indent 2 Char"/>
    <w:basedOn w:val="BodyTextIndentChar"/>
    <w:link w:val="BodyTextFirstIndent2"/>
    <w:semiHidden/>
    <w:rsid w:val="008D253F"/>
    <w:rPr>
      <w:color w:val="333333"/>
    </w:rPr>
  </w:style>
  <w:style w:type="character" w:customStyle="1" w:styleId="BodyTextIndent2Char">
    <w:name w:val="Body Text Indent 2 Char"/>
    <w:basedOn w:val="DefaultParagraphFont"/>
    <w:link w:val="BodyTextIndent2"/>
    <w:semiHidden/>
    <w:rsid w:val="008D253F"/>
    <w:rPr>
      <w:color w:val="333333"/>
    </w:rPr>
  </w:style>
  <w:style w:type="character" w:customStyle="1" w:styleId="BodyTextIndent3Char">
    <w:name w:val="Body Text Indent 3 Char"/>
    <w:basedOn w:val="DefaultParagraphFont"/>
    <w:link w:val="BodyTextIndent3"/>
    <w:semiHidden/>
    <w:rsid w:val="008D253F"/>
    <w:rPr>
      <w:color w:val="333333"/>
      <w:sz w:val="16"/>
      <w:szCs w:val="16"/>
    </w:rPr>
  </w:style>
  <w:style w:type="character" w:customStyle="1" w:styleId="ClosingChar">
    <w:name w:val="Closing Char"/>
    <w:basedOn w:val="DefaultParagraphFont"/>
    <w:link w:val="Closing"/>
    <w:semiHidden/>
    <w:rsid w:val="008D253F"/>
    <w:rPr>
      <w:color w:val="333333"/>
    </w:rPr>
  </w:style>
  <w:style w:type="character" w:customStyle="1" w:styleId="DateChar">
    <w:name w:val="Date Char"/>
    <w:basedOn w:val="DefaultParagraphFont"/>
    <w:link w:val="Date"/>
    <w:semiHidden/>
    <w:rsid w:val="008D253F"/>
    <w:rPr>
      <w:color w:val="333333"/>
    </w:rPr>
  </w:style>
  <w:style w:type="character" w:customStyle="1" w:styleId="DocumentMapChar">
    <w:name w:val="Document Map Char"/>
    <w:basedOn w:val="DefaultParagraphFont"/>
    <w:link w:val="DocumentMap"/>
    <w:semiHidden/>
    <w:rsid w:val="008D253F"/>
    <w:rPr>
      <w:rFonts w:ascii="Tahoma" w:hAnsi="Tahoma" w:cs="Tahoma"/>
      <w:color w:val="333333"/>
      <w:shd w:val="clear" w:color="auto" w:fill="000080"/>
    </w:rPr>
  </w:style>
  <w:style w:type="character" w:customStyle="1" w:styleId="E-mailSignatureChar">
    <w:name w:val="E-mail Signature Char"/>
    <w:basedOn w:val="DefaultParagraphFont"/>
    <w:link w:val="E-mailSignature"/>
    <w:semiHidden/>
    <w:rsid w:val="008D253F"/>
    <w:rPr>
      <w:color w:val="333333"/>
    </w:rPr>
  </w:style>
  <w:style w:type="character" w:customStyle="1" w:styleId="EndnoteTextChar">
    <w:name w:val="Endnote Text Char"/>
    <w:basedOn w:val="DefaultParagraphFont"/>
    <w:link w:val="EndnoteText"/>
    <w:semiHidden/>
    <w:rsid w:val="008D253F"/>
    <w:rPr>
      <w:color w:val="333333"/>
      <w:sz w:val="20"/>
      <w:szCs w:val="20"/>
    </w:rPr>
  </w:style>
  <w:style w:type="character" w:customStyle="1" w:styleId="FootnoteTextChar">
    <w:name w:val="Footnote Text Char"/>
    <w:basedOn w:val="DefaultParagraphFont"/>
    <w:link w:val="FootnoteText"/>
    <w:semiHidden/>
    <w:rsid w:val="008D253F"/>
    <w:rPr>
      <w:color w:val="333333"/>
      <w:sz w:val="20"/>
      <w:szCs w:val="20"/>
    </w:rPr>
  </w:style>
  <w:style w:type="character" w:customStyle="1" w:styleId="Heading6Char">
    <w:name w:val="Heading 6 Char"/>
    <w:basedOn w:val="DefaultParagraphFont"/>
    <w:link w:val="Heading6"/>
    <w:semiHidden/>
    <w:rsid w:val="008D253F"/>
    <w:rPr>
      <w:rFonts w:ascii="Times New Roman" w:hAnsi="Times New Roman"/>
      <w:b/>
      <w:bCs/>
      <w:color w:val="333333"/>
      <w:sz w:val="22"/>
    </w:rPr>
  </w:style>
  <w:style w:type="character" w:customStyle="1" w:styleId="Heading7Char">
    <w:name w:val="Heading 7 Char"/>
    <w:basedOn w:val="DefaultParagraphFont"/>
    <w:link w:val="Heading7"/>
    <w:semiHidden/>
    <w:rsid w:val="008D253F"/>
    <w:rPr>
      <w:rFonts w:ascii="Times New Roman" w:hAnsi="Times New Roman"/>
      <w:color w:val="333333"/>
      <w:sz w:val="24"/>
      <w:szCs w:val="24"/>
    </w:rPr>
  </w:style>
  <w:style w:type="character" w:customStyle="1" w:styleId="Heading8Char">
    <w:name w:val="Heading 8 Char"/>
    <w:basedOn w:val="DefaultParagraphFont"/>
    <w:link w:val="Heading8"/>
    <w:semiHidden/>
    <w:rsid w:val="008D253F"/>
    <w:rPr>
      <w:rFonts w:ascii="Times New Roman" w:hAnsi="Times New Roman"/>
      <w:i/>
      <w:iCs/>
      <w:color w:val="333333"/>
      <w:sz w:val="24"/>
      <w:szCs w:val="24"/>
    </w:rPr>
  </w:style>
  <w:style w:type="character" w:customStyle="1" w:styleId="Heading9Char">
    <w:name w:val="Heading 9 Char"/>
    <w:basedOn w:val="DefaultParagraphFont"/>
    <w:link w:val="Heading9"/>
    <w:semiHidden/>
    <w:rsid w:val="008D253F"/>
    <w:rPr>
      <w:color w:val="333333"/>
      <w:sz w:val="22"/>
    </w:rPr>
  </w:style>
  <w:style w:type="character" w:customStyle="1" w:styleId="HTMLAddressChar">
    <w:name w:val="HTML Address Char"/>
    <w:basedOn w:val="DefaultParagraphFont"/>
    <w:link w:val="HTMLAddress"/>
    <w:semiHidden/>
    <w:rsid w:val="008D253F"/>
    <w:rPr>
      <w:i/>
      <w:iCs/>
      <w:color w:val="333333"/>
    </w:rPr>
  </w:style>
  <w:style w:type="character" w:customStyle="1" w:styleId="HTMLPreformattedChar">
    <w:name w:val="HTML Preformatted Char"/>
    <w:basedOn w:val="DefaultParagraphFont"/>
    <w:link w:val="HTMLPreformatted"/>
    <w:semiHidden/>
    <w:rsid w:val="008D253F"/>
    <w:rPr>
      <w:rFonts w:ascii="Courier New" w:hAnsi="Courier New" w:cs="Courier New"/>
      <w:color w:val="333333"/>
      <w:sz w:val="20"/>
      <w:szCs w:val="20"/>
    </w:rPr>
  </w:style>
  <w:style w:type="character" w:customStyle="1" w:styleId="MacroTextChar">
    <w:name w:val="Macro Text Char"/>
    <w:basedOn w:val="DefaultParagraphFont"/>
    <w:link w:val="MacroText"/>
    <w:semiHidden/>
    <w:rsid w:val="008D253F"/>
    <w:rPr>
      <w:rFonts w:ascii="Courier New" w:hAnsi="Courier New" w:cs="Courier New"/>
      <w:color w:val="333333"/>
      <w:sz w:val="24"/>
      <w:szCs w:val="24"/>
      <w:lang w:eastAsia="en-AU"/>
    </w:rPr>
  </w:style>
  <w:style w:type="character" w:customStyle="1" w:styleId="MessageHeaderChar">
    <w:name w:val="Message Header Char"/>
    <w:basedOn w:val="DefaultParagraphFont"/>
    <w:link w:val="MessageHeader"/>
    <w:semiHidden/>
    <w:rsid w:val="008D253F"/>
    <w:rPr>
      <w:color w:val="333333"/>
      <w:sz w:val="24"/>
      <w:szCs w:val="24"/>
      <w:shd w:val="pct20" w:color="auto" w:fill="auto"/>
    </w:rPr>
  </w:style>
  <w:style w:type="character" w:customStyle="1" w:styleId="NoteHeadingChar">
    <w:name w:val="Note Heading Char"/>
    <w:basedOn w:val="DefaultParagraphFont"/>
    <w:link w:val="NoteHeading"/>
    <w:semiHidden/>
    <w:rsid w:val="008D253F"/>
    <w:rPr>
      <w:color w:val="333333"/>
    </w:rPr>
  </w:style>
  <w:style w:type="character" w:customStyle="1" w:styleId="PlainTextChar">
    <w:name w:val="Plain Text Char"/>
    <w:basedOn w:val="DefaultParagraphFont"/>
    <w:link w:val="PlainText"/>
    <w:rsid w:val="008D253F"/>
    <w:rPr>
      <w:rFonts w:ascii="Courier New" w:hAnsi="Courier New" w:cs="Courier New"/>
      <w:color w:val="333333"/>
      <w:sz w:val="20"/>
      <w:szCs w:val="20"/>
    </w:rPr>
  </w:style>
  <w:style w:type="character" w:customStyle="1" w:styleId="SalutationChar">
    <w:name w:val="Salutation Char"/>
    <w:basedOn w:val="DefaultParagraphFont"/>
    <w:link w:val="Salutation"/>
    <w:semiHidden/>
    <w:rsid w:val="008D253F"/>
    <w:rPr>
      <w:color w:val="333333"/>
    </w:rPr>
  </w:style>
  <w:style w:type="character" w:customStyle="1" w:styleId="SignatureChar">
    <w:name w:val="Signature Char"/>
    <w:basedOn w:val="DefaultParagraphFont"/>
    <w:link w:val="Signature"/>
    <w:semiHidden/>
    <w:rsid w:val="008D253F"/>
    <w:rPr>
      <w:color w:val="333333"/>
    </w:rPr>
  </w:style>
  <w:style w:type="paragraph" w:customStyle="1" w:styleId="StyleBodyTextItalic">
    <w:name w:val="Style Body Text + Italic"/>
    <w:basedOn w:val="BodyText"/>
    <w:link w:val="StyleBodyTextItalicChar"/>
    <w:semiHidden/>
    <w:rsid w:val="008D253F"/>
    <w:rPr>
      <w:i/>
      <w:iCs/>
    </w:rPr>
  </w:style>
  <w:style w:type="character" w:customStyle="1" w:styleId="StyleBodyTextItalicChar">
    <w:name w:val="Style Body Text + Italic Char"/>
    <w:basedOn w:val="BodyTextChar"/>
    <w:link w:val="StyleBodyTextItalic"/>
    <w:semiHidden/>
    <w:rsid w:val="008D253F"/>
    <w:rPr>
      <w:i/>
      <w:iCs/>
      <w:color w:val="333333"/>
      <w:sz w:val="20"/>
    </w:rPr>
  </w:style>
  <w:style w:type="character" w:customStyle="1" w:styleId="Superscript">
    <w:name w:val="Superscript"/>
    <w:basedOn w:val="DefaultParagraphFont"/>
    <w:qFormat/>
    <w:rsid w:val="008D253F"/>
    <w:rPr>
      <w:vertAlign w:val="superscript"/>
    </w:rPr>
  </w:style>
  <w:style w:type="character" w:customStyle="1" w:styleId="Bold">
    <w:name w:val="Bold"/>
    <w:basedOn w:val="DefaultParagraphFont"/>
    <w:uiPriority w:val="1"/>
    <w:qFormat/>
    <w:rsid w:val="008D253F"/>
    <w:rPr>
      <w:b/>
    </w:rPr>
  </w:style>
  <w:style w:type="character" w:customStyle="1" w:styleId="Italic">
    <w:name w:val="Italic"/>
    <w:basedOn w:val="BodyTextChar"/>
    <w:uiPriority w:val="1"/>
    <w:qFormat/>
    <w:rsid w:val="008D253F"/>
    <w:rPr>
      <w:rFonts w:ascii="Arial" w:hAnsi="Arial" w:cs="Arial"/>
      <w:i/>
      <w:iCs w:val="0"/>
      <w:color w:val="333333"/>
      <w:sz w:val="18"/>
      <w:szCs w:val="22"/>
      <w:lang w:val="en-AU" w:eastAsia="en-AU" w:bidi="ar-SA"/>
    </w:rPr>
  </w:style>
  <w:style w:type="table" w:styleId="Table3Deffects2">
    <w:name w:val="Table 3D effects 2"/>
    <w:basedOn w:val="TableNormal"/>
    <w:rsid w:val="008D253F"/>
    <w:pPr>
      <w:keepLines/>
      <w:suppressAutoHyphens/>
      <w:spacing w:after="160" w:line="2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8D253F"/>
    <w:pPr>
      <w:keepLines/>
      <w:suppressAutoHyphens/>
      <w:spacing w:after="160" w:line="2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Heading2top">
    <w:name w:val="Heading 2 top"/>
    <w:basedOn w:val="Heading2"/>
    <w:qFormat/>
    <w:rsid w:val="008D253F"/>
    <w:pPr>
      <w:spacing w:before="0"/>
    </w:pPr>
    <w:rPr>
      <w:rFonts w:cs="Arial"/>
      <w:lang w:eastAsia="en-AU"/>
    </w:rPr>
  </w:style>
  <w:style w:type="table" w:customStyle="1" w:styleId="BlockListing">
    <w:name w:val="Block Listing"/>
    <w:basedOn w:val="TableNormal"/>
    <w:uiPriority w:val="99"/>
    <w:rsid w:val="008D2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tblCellMar>
    </w:tblPr>
  </w:style>
  <w:style w:type="table" w:customStyle="1" w:styleId="PetroleumSystemsTable">
    <w:name w:val="Petroleum Systems Table"/>
    <w:basedOn w:val="TableNormal"/>
    <w:uiPriority w:val="99"/>
    <w:rsid w:val="008D253F"/>
    <w:rPr>
      <w:szCs w:val="20"/>
    </w:rPr>
    <w:tblPr>
      <w:tblBorders>
        <w:top w:val="single" w:sz="4" w:space="0" w:color="auto"/>
        <w:bottom w:val="single" w:sz="4" w:space="0" w:color="auto"/>
        <w:insideH w:val="single" w:sz="4" w:space="0" w:color="auto"/>
        <w:insideV w:val="single" w:sz="4" w:space="0" w:color="auto"/>
      </w:tblBorders>
      <w:tblCellMar>
        <w:top w:w="85" w:type="dxa"/>
        <w:left w:w="85" w:type="dxa"/>
        <w:bottom w:w="74" w:type="dxa"/>
        <w:right w:w="85" w:type="dxa"/>
      </w:tblCellMar>
    </w:tblPr>
    <w:tblStylePr w:type="firstCol">
      <w:tblPr/>
      <w:tcPr>
        <w:shd w:val="clear" w:color="auto" w:fill="E6E6E6"/>
      </w:tcPr>
    </w:tblStylePr>
  </w:style>
  <w:style w:type="paragraph" w:customStyle="1" w:styleId="TableBullet">
    <w:name w:val="Table Bullet"/>
    <w:basedOn w:val="Normal"/>
    <w:rsid w:val="008D253F"/>
    <w:pPr>
      <w:numPr>
        <w:numId w:val="14"/>
      </w:numPr>
      <w:spacing w:after="80" w:line="240" w:lineRule="atLeast"/>
      <w:contextualSpacing/>
    </w:pPr>
    <w:rPr>
      <w:szCs w:val="20"/>
      <w:lang w:eastAsia="en-AU"/>
    </w:rPr>
  </w:style>
  <w:style w:type="paragraph" w:customStyle="1" w:styleId="TableItalic">
    <w:name w:val="Table Italic"/>
    <w:basedOn w:val="Normal"/>
    <w:qFormat/>
    <w:rsid w:val="008D253F"/>
    <w:rPr>
      <w:rFonts w:cs="Arial"/>
      <w:i/>
      <w:szCs w:val="22"/>
      <w:lang w:eastAsia="en-AU"/>
    </w:rPr>
  </w:style>
  <w:style w:type="paragraph" w:customStyle="1" w:styleId="TableHeader">
    <w:name w:val="Table Header"/>
    <w:basedOn w:val="Normal"/>
    <w:qFormat/>
    <w:rsid w:val="008D253F"/>
    <w:rPr>
      <w:rFonts w:cs="Arial"/>
      <w:szCs w:val="22"/>
      <w:lang w:eastAsia="en-AU"/>
    </w:rPr>
  </w:style>
  <w:style w:type="character" w:customStyle="1" w:styleId="Subscript">
    <w:name w:val="Subscript"/>
    <w:basedOn w:val="DefaultParagraphFont"/>
    <w:uiPriority w:val="1"/>
    <w:qFormat/>
    <w:rsid w:val="008D253F"/>
    <w:rPr>
      <w:position w:val="-4"/>
      <w:vertAlign w:val="subscript"/>
    </w:rPr>
  </w:style>
  <w:style w:type="paragraph" w:customStyle="1" w:styleId="BodyTextSpaceBefore">
    <w:name w:val="Body Text – Space Before"/>
    <w:basedOn w:val="BodyText"/>
    <w:autoRedefine/>
    <w:qFormat/>
    <w:rsid w:val="00577FBB"/>
    <w:rPr>
      <w:color w:val="auto"/>
    </w:rPr>
  </w:style>
  <w:style w:type="character" w:customStyle="1" w:styleId="Regular">
    <w:name w:val="Regular"/>
    <w:basedOn w:val="DefaultParagraphFont"/>
    <w:uiPriority w:val="1"/>
    <w:qFormat/>
    <w:rsid w:val="008D253F"/>
  </w:style>
  <w:style w:type="paragraph" w:customStyle="1" w:styleId="Foliotext">
    <w:name w:val="Folio text"/>
    <w:basedOn w:val="Normal"/>
    <w:qFormat/>
    <w:rsid w:val="008D253F"/>
    <w:pPr>
      <w:pBdr>
        <w:top w:val="single" w:sz="4" w:space="3" w:color="auto"/>
      </w:pBdr>
      <w:tabs>
        <w:tab w:val="left" w:pos="4820"/>
        <w:tab w:val="right" w:pos="9639"/>
      </w:tabs>
    </w:pPr>
  </w:style>
  <w:style w:type="character" w:customStyle="1" w:styleId="FooterChar">
    <w:name w:val="Footer Char"/>
    <w:basedOn w:val="DefaultParagraphFont"/>
    <w:link w:val="Footer"/>
    <w:uiPriority w:val="99"/>
    <w:rsid w:val="008D253F"/>
    <w:rPr>
      <w:color w:val="333333"/>
    </w:rPr>
  </w:style>
  <w:style w:type="paragraph" w:styleId="BlockText">
    <w:name w:val="Block Text"/>
    <w:basedOn w:val="Normal"/>
    <w:link w:val="BlockTextChar"/>
    <w:semiHidden/>
    <w:rsid w:val="008D253F"/>
    <w:pPr>
      <w:ind w:left="1440" w:right="1440"/>
    </w:pPr>
    <w:rPr>
      <w:rFonts w:cs="Arial"/>
      <w:szCs w:val="22"/>
      <w:lang w:eastAsia="en-AU"/>
    </w:rPr>
  </w:style>
  <w:style w:type="paragraph" w:customStyle="1" w:styleId="Heading4Table">
    <w:name w:val="Heading 4 Table"/>
    <w:basedOn w:val="Heading4"/>
    <w:rsid w:val="008D253F"/>
    <w:pPr>
      <w:spacing w:before="0" w:after="60" w:line="260" w:lineRule="exact"/>
    </w:pPr>
    <w:rPr>
      <w:bCs/>
      <w:kern w:val="0"/>
      <w:lang w:eastAsia="en-AU"/>
    </w:rPr>
  </w:style>
  <w:style w:type="character" w:customStyle="1" w:styleId="BlockTextChar">
    <w:name w:val="Block Text Char"/>
    <w:basedOn w:val="DefaultParagraphFont"/>
    <w:link w:val="BlockText"/>
    <w:semiHidden/>
    <w:rsid w:val="008D253F"/>
    <w:rPr>
      <w:rFonts w:cs="Arial"/>
      <w:color w:val="333333"/>
      <w:szCs w:val="22"/>
      <w:lang w:eastAsia="en-AU"/>
    </w:rPr>
  </w:style>
  <w:style w:type="character" w:customStyle="1" w:styleId="ALLCAPS">
    <w:name w:val="ALL CAPS"/>
    <w:basedOn w:val="DefaultParagraphFont"/>
    <w:uiPriority w:val="1"/>
    <w:semiHidden/>
    <w:rsid w:val="008D253F"/>
    <w:rPr>
      <w:caps/>
    </w:rPr>
  </w:style>
  <w:style w:type="paragraph" w:customStyle="1" w:styleId="Heading5-After">
    <w:name w:val="Heading 5 - After"/>
    <w:basedOn w:val="Heading5"/>
    <w:qFormat/>
    <w:rsid w:val="008D253F"/>
    <w:pPr>
      <w:spacing w:before="200"/>
    </w:pPr>
  </w:style>
  <w:style w:type="paragraph" w:customStyle="1" w:styleId="Heading4-After">
    <w:name w:val="Heading 4 - After"/>
    <w:basedOn w:val="Heading4"/>
    <w:qFormat/>
    <w:rsid w:val="008D253F"/>
    <w:pPr>
      <w:spacing w:before="200"/>
    </w:pPr>
  </w:style>
  <w:style w:type="paragraph" w:customStyle="1" w:styleId="FigureList">
    <w:name w:val="Figure List"/>
    <w:basedOn w:val="List"/>
    <w:qFormat/>
    <w:rsid w:val="008D253F"/>
    <w:pPr>
      <w:tabs>
        <w:tab w:val="left" w:pos="1587"/>
      </w:tabs>
      <w:ind w:left="1021" w:hanging="1021"/>
    </w:pPr>
    <w:rPr>
      <w:lang w:val="it-IT"/>
    </w:rPr>
  </w:style>
  <w:style w:type="paragraph" w:customStyle="1" w:styleId="H3-after">
    <w:name w:val="H3 - after"/>
    <w:basedOn w:val="Normal"/>
    <w:uiPriority w:val="99"/>
    <w:semiHidden/>
    <w:rsid w:val="008D253F"/>
    <w:pPr>
      <w:keepNext/>
      <w:widowControl w:val="0"/>
      <w:autoSpaceDE w:val="0"/>
      <w:autoSpaceDN w:val="0"/>
      <w:adjustRightInd w:val="0"/>
      <w:spacing w:before="113" w:after="113" w:line="288" w:lineRule="auto"/>
      <w:textAlignment w:val="center"/>
    </w:pPr>
    <w:rPr>
      <w:rFonts w:ascii="Arial-BoldMT" w:hAnsi="Arial-BoldMT" w:cs="Arial-BoldMT"/>
      <w:b/>
      <w:bCs/>
      <w:color w:val="464646"/>
      <w:sz w:val="24"/>
      <w:szCs w:val="24"/>
      <w:lang w:val="en-GB"/>
    </w:rPr>
  </w:style>
  <w:style w:type="character" w:customStyle="1" w:styleId="Symbol">
    <w:name w:val="Symbol"/>
    <w:basedOn w:val="DefaultParagraphFont"/>
    <w:uiPriority w:val="1"/>
    <w:qFormat/>
    <w:rsid w:val="008D253F"/>
    <w:rPr>
      <w:rFonts w:ascii="Symbol" w:hAnsi="Symbol"/>
    </w:rPr>
  </w:style>
  <w:style w:type="paragraph" w:customStyle="1" w:styleId="Figuresandimagesleft">
    <w:name w:val="Figures and images left"/>
    <w:basedOn w:val="Normal"/>
    <w:qFormat/>
    <w:rsid w:val="008D253F"/>
    <w:pPr>
      <w:keepNext/>
      <w:spacing w:line="240" w:lineRule="auto"/>
    </w:pPr>
    <w:rPr>
      <w:b/>
    </w:rPr>
  </w:style>
  <w:style w:type="paragraph" w:customStyle="1" w:styleId="Foliotextlandscape">
    <w:name w:val="Folio text landscape"/>
    <w:basedOn w:val="Normal"/>
    <w:qFormat/>
    <w:rsid w:val="008D253F"/>
    <w:pPr>
      <w:pBdr>
        <w:top w:val="single" w:sz="4" w:space="3" w:color="auto"/>
      </w:pBdr>
      <w:tabs>
        <w:tab w:val="left" w:pos="9752"/>
        <w:tab w:val="right" w:pos="14572"/>
      </w:tabs>
    </w:pPr>
  </w:style>
  <w:style w:type="paragraph" w:customStyle="1" w:styleId="FoliotextA3landscape">
    <w:name w:val="Folio text A3 landscape"/>
    <w:basedOn w:val="Foliotextlandscape"/>
    <w:qFormat/>
    <w:rsid w:val="008D253F"/>
    <w:pPr>
      <w:tabs>
        <w:tab w:val="clear" w:pos="9752"/>
        <w:tab w:val="left" w:pos="14572"/>
        <w:tab w:val="right" w:pos="21546"/>
      </w:tabs>
    </w:pPr>
  </w:style>
  <w:style w:type="paragraph" w:customStyle="1" w:styleId="Disclaimer">
    <w:name w:val="Disclaimer"/>
    <w:basedOn w:val="BodyText"/>
    <w:qFormat/>
    <w:rsid w:val="00F218B2"/>
    <w:pPr>
      <w:pBdr>
        <w:top w:val="single" w:sz="4" w:space="4" w:color="auto"/>
        <w:bottom w:val="single" w:sz="4" w:space="4" w:color="auto"/>
      </w:pBdr>
      <w:shd w:val="clear" w:color="auto" w:fill="D9D9D9" w:themeFill="background1" w:themeFillShade="D9"/>
      <w:tabs>
        <w:tab w:val="left" w:pos="113"/>
      </w:tabs>
      <w:spacing w:after="80" w:line="240" w:lineRule="auto"/>
      <w:ind w:left="113" w:hanging="113"/>
    </w:pPr>
    <w:rPr>
      <w:sz w:val="12"/>
      <w:szCs w:val="12"/>
    </w:rPr>
  </w:style>
  <w:style w:type="character" w:customStyle="1" w:styleId="HeaderChar">
    <w:name w:val="Header Char"/>
    <w:basedOn w:val="DefaultParagraphFont"/>
    <w:link w:val="Header"/>
    <w:uiPriority w:val="99"/>
    <w:rsid w:val="00C866A4"/>
    <w:rPr>
      <w:color w:val="333333"/>
    </w:rPr>
  </w:style>
  <w:style w:type="character" w:customStyle="1" w:styleId="Heading3Char">
    <w:name w:val="Heading 3 Char"/>
    <w:basedOn w:val="DefaultParagraphFont"/>
    <w:link w:val="Heading3"/>
    <w:rsid w:val="00BF05A8"/>
    <w:rPr>
      <w:rFonts w:ascii="Arial Bold" w:hAnsi="Arial Bold"/>
      <w:b/>
      <w:color w:val="333333"/>
      <w:kern w:val="32"/>
      <w:sz w:val="24"/>
      <w:szCs w:val="28"/>
    </w:rPr>
  </w:style>
  <w:style w:type="paragraph" w:styleId="Revision">
    <w:name w:val="Revision"/>
    <w:hidden/>
    <w:uiPriority w:val="99"/>
    <w:semiHidden/>
    <w:rsid w:val="0048707C"/>
    <w:rPr>
      <w:color w:val="333333"/>
    </w:rPr>
  </w:style>
  <w:style w:type="paragraph" w:customStyle="1" w:styleId="bodybullet">
    <w:name w:val="body bullet"/>
    <w:basedOn w:val="BodyText"/>
    <w:link w:val="bodybulletChar"/>
    <w:qFormat/>
    <w:rsid w:val="00C646CA"/>
    <w:pPr>
      <w:numPr>
        <w:numId w:val="16"/>
      </w:numPr>
    </w:pPr>
    <w:rPr>
      <w:lang w:val="en"/>
    </w:rPr>
  </w:style>
  <w:style w:type="character" w:customStyle="1" w:styleId="bodybulletChar">
    <w:name w:val="body bullet Char"/>
    <w:basedOn w:val="BodyTextChar"/>
    <w:link w:val="bodybullet"/>
    <w:rsid w:val="00C646CA"/>
    <w:rPr>
      <w:color w:val="333333"/>
      <w:sz w:val="20"/>
      <w:lang w:val="en"/>
    </w:rPr>
  </w:style>
  <w:style w:type="character" w:customStyle="1" w:styleId="CommentTextChar">
    <w:name w:val="Comment Text Char"/>
    <w:basedOn w:val="DefaultParagraphFont"/>
    <w:link w:val="CommentText"/>
    <w:uiPriority w:val="99"/>
    <w:semiHidden/>
    <w:rsid w:val="005A16F9"/>
    <w:rPr>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04784">
      <w:bodyDiv w:val="1"/>
      <w:marLeft w:val="0"/>
      <w:marRight w:val="0"/>
      <w:marTop w:val="0"/>
      <w:marBottom w:val="0"/>
      <w:divBdr>
        <w:top w:val="none" w:sz="0" w:space="0" w:color="auto"/>
        <w:left w:val="none" w:sz="0" w:space="0" w:color="auto"/>
        <w:bottom w:val="none" w:sz="0" w:space="0" w:color="auto"/>
        <w:right w:val="none" w:sz="0" w:space="0" w:color="auto"/>
      </w:divBdr>
    </w:div>
    <w:div w:id="337851349">
      <w:bodyDiv w:val="1"/>
      <w:marLeft w:val="0"/>
      <w:marRight w:val="0"/>
      <w:marTop w:val="0"/>
      <w:marBottom w:val="0"/>
      <w:divBdr>
        <w:top w:val="none" w:sz="0" w:space="0" w:color="auto"/>
        <w:left w:val="none" w:sz="0" w:space="0" w:color="auto"/>
        <w:bottom w:val="none" w:sz="0" w:space="0" w:color="auto"/>
        <w:right w:val="none" w:sz="0" w:space="0" w:color="auto"/>
      </w:divBdr>
    </w:div>
    <w:div w:id="394476449">
      <w:bodyDiv w:val="1"/>
      <w:marLeft w:val="0"/>
      <w:marRight w:val="0"/>
      <w:marTop w:val="0"/>
      <w:marBottom w:val="0"/>
      <w:divBdr>
        <w:top w:val="none" w:sz="0" w:space="0" w:color="auto"/>
        <w:left w:val="none" w:sz="0" w:space="0" w:color="auto"/>
        <w:bottom w:val="none" w:sz="0" w:space="0" w:color="auto"/>
        <w:right w:val="none" w:sz="0" w:space="0" w:color="auto"/>
      </w:divBdr>
    </w:div>
    <w:div w:id="402946432">
      <w:bodyDiv w:val="1"/>
      <w:marLeft w:val="0"/>
      <w:marRight w:val="0"/>
      <w:marTop w:val="0"/>
      <w:marBottom w:val="0"/>
      <w:divBdr>
        <w:top w:val="none" w:sz="0" w:space="0" w:color="auto"/>
        <w:left w:val="none" w:sz="0" w:space="0" w:color="auto"/>
        <w:bottom w:val="none" w:sz="0" w:space="0" w:color="auto"/>
        <w:right w:val="none" w:sz="0" w:space="0" w:color="auto"/>
      </w:divBdr>
    </w:div>
    <w:div w:id="415445653">
      <w:bodyDiv w:val="1"/>
      <w:marLeft w:val="0"/>
      <w:marRight w:val="0"/>
      <w:marTop w:val="0"/>
      <w:marBottom w:val="0"/>
      <w:divBdr>
        <w:top w:val="none" w:sz="0" w:space="0" w:color="auto"/>
        <w:left w:val="none" w:sz="0" w:space="0" w:color="auto"/>
        <w:bottom w:val="none" w:sz="0" w:space="0" w:color="auto"/>
        <w:right w:val="none" w:sz="0" w:space="0" w:color="auto"/>
      </w:divBdr>
    </w:div>
    <w:div w:id="522284718">
      <w:bodyDiv w:val="1"/>
      <w:marLeft w:val="0"/>
      <w:marRight w:val="0"/>
      <w:marTop w:val="0"/>
      <w:marBottom w:val="0"/>
      <w:divBdr>
        <w:top w:val="none" w:sz="0" w:space="0" w:color="auto"/>
        <w:left w:val="none" w:sz="0" w:space="0" w:color="auto"/>
        <w:bottom w:val="none" w:sz="0" w:space="0" w:color="auto"/>
        <w:right w:val="none" w:sz="0" w:space="0" w:color="auto"/>
      </w:divBdr>
    </w:div>
    <w:div w:id="645354476">
      <w:bodyDiv w:val="1"/>
      <w:marLeft w:val="0"/>
      <w:marRight w:val="0"/>
      <w:marTop w:val="0"/>
      <w:marBottom w:val="0"/>
      <w:divBdr>
        <w:top w:val="none" w:sz="0" w:space="0" w:color="auto"/>
        <w:left w:val="none" w:sz="0" w:space="0" w:color="auto"/>
        <w:bottom w:val="none" w:sz="0" w:space="0" w:color="auto"/>
        <w:right w:val="none" w:sz="0" w:space="0" w:color="auto"/>
      </w:divBdr>
    </w:div>
    <w:div w:id="760108088">
      <w:bodyDiv w:val="1"/>
      <w:marLeft w:val="0"/>
      <w:marRight w:val="0"/>
      <w:marTop w:val="0"/>
      <w:marBottom w:val="0"/>
      <w:divBdr>
        <w:top w:val="none" w:sz="0" w:space="0" w:color="auto"/>
        <w:left w:val="none" w:sz="0" w:space="0" w:color="auto"/>
        <w:bottom w:val="none" w:sz="0" w:space="0" w:color="auto"/>
        <w:right w:val="none" w:sz="0" w:space="0" w:color="auto"/>
      </w:divBdr>
    </w:div>
    <w:div w:id="968898825">
      <w:bodyDiv w:val="1"/>
      <w:marLeft w:val="0"/>
      <w:marRight w:val="0"/>
      <w:marTop w:val="0"/>
      <w:marBottom w:val="0"/>
      <w:divBdr>
        <w:top w:val="none" w:sz="0" w:space="0" w:color="auto"/>
        <w:left w:val="none" w:sz="0" w:space="0" w:color="auto"/>
        <w:bottom w:val="none" w:sz="0" w:space="0" w:color="auto"/>
        <w:right w:val="none" w:sz="0" w:space="0" w:color="auto"/>
      </w:divBdr>
    </w:div>
    <w:div w:id="991636737">
      <w:bodyDiv w:val="1"/>
      <w:marLeft w:val="0"/>
      <w:marRight w:val="0"/>
      <w:marTop w:val="0"/>
      <w:marBottom w:val="0"/>
      <w:divBdr>
        <w:top w:val="none" w:sz="0" w:space="0" w:color="auto"/>
        <w:left w:val="none" w:sz="0" w:space="0" w:color="auto"/>
        <w:bottom w:val="none" w:sz="0" w:space="0" w:color="auto"/>
        <w:right w:val="none" w:sz="0" w:space="0" w:color="auto"/>
      </w:divBdr>
    </w:div>
    <w:div w:id="1072508154">
      <w:bodyDiv w:val="1"/>
      <w:marLeft w:val="0"/>
      <w:marRight w:val="0"/>
      <w:marTop w:val="0"/>
      <w:marBottom w:val="0"/>
      <w:divBdr>
        <w:top w:val="none" w:sz="0" w:space="0" w:color="auto"/>
        <w:left w:val="none" w:sz="0" w:space="0" w:color="auto"/>
        <w:bottom w:val="none" w:sz="0" w:space="0" w:color="auto"/>
        <w:right w:val="none" w:sz="0" w:space="0" w:color="auto"/>
      </w:divBdr>
    </w:div>
    <w:div w:id="1312096469">
      <w:bodyDiv w:val="1"/>
      <w:marLeft w:val="0"/>
      <w:marRight w:val="0"/>
      <w:marTop w:val="0"/>
      <w:marBottom w:val="0"/>
      <w:divBdr>
        <w:top w:val="none" w:sz="0" w:space="0" w:color="auto"/>
        <w:left w:val="none" w:sz="0" w:space="0" w:color="auto"/>
        <w:bottom w:val="none" w:sz="0" w:space="0" w:color="auto"/>
        <w:right w:val="none" w:sz="0" w:space="0" w:color="auto"/>
      </w:divBdr>
    </w:div>
    <w:div w:id="1505197696">
      <w:bodyDiv w:val="1"/>
      <w:marLeft w:val="0"/>
      <w:marRight w:val="0"/>
      <w:marTop w:val="0"/>
      <w:marBottom w:val="0"/>
      <w:divBdr>
        <w:top w:val="none" w:sz="0" w:space="0" w:color="auto"/>
        <w:left w:val="none" w:sz="0" w:space="0" w:color="auto"/>
        <w:bottom w:val="none" w:sz="0" w:space="0" w:color="auto"/>
        <w:right w:val="none" w:sz="0" w:space="0" w:color="auto"/>
      </w:divBdr>
    </w:div>
    <w:div w:id="1645043682">
      <w:bodyDiv w:val="1"/>
      <w:marLeft w:val="0"/>
      <w:marRight w:val="0"/>
      <w:marTop w:val="0"/>
      <w:marBottom w:val="0"/>
      <w:divBdr>
        <w:top w:val="none" w:sz="0" w:space="0" w:color="auto"/>
        <w:left w:val="none" w:sz="0" w:space="0" w:color="auto"/>
        <w:bottom w:val="none" w:sz="0" w:space="0" w:color="auto"/>
        <w:right w:val="none" w:sz="0" w:space="0" w:color="auto"/>
      </w:divBdr>
    </w:div>
    <w:div w:id="1648779070">
      <w:bodyDiv w:val="1"/>
      <w:marLeft w:val="0"/>
      <w:marRight w:val="0"/>
      <w:marTop w:val="0"/>
      <w:marBottom w:val="0"/>
      <w:divBdr>
        <w:top w:val="none" w:sz="0" w:space="0" w:color="auto"/>
        <w:left w:val="none" w:sz="0" w:space="0" w:color="auto"/>
        <w:bottom w:val="none" w:sz="0" w:space="0" w:color="auto"/>
        <w:right w:val="none" w:sz="0" w:space="0" w:color="auto"/>
      </w:divBdr>
    </w:div>
    <w:div w:id="1938564569">
      <w:bodyDiv w:val="1"/>
      <w:marLeft w:val="0"/>
      <w:marRight w:val="0"/>
      <w:marTop w:val="0"/>
      <w:marBottom w:val="0"/>
      <w:divBdr>
        <w:top w:val="none" w:sz="0" w:space="0" w:color="auto"/>
        <w:left w:val="none" w:sz="0" w:space="0" w:color="auto"/>
        <w:bottom w:val="none" w:sz="0" w:space="0" w:color="auto"/>
        <w:right w:val="none" w:sz="0" w:space="0" w:color="auto"/>
      </w:divBdr>
    </w:div>
    <w:div w:id="1986231114">
      <w:bodyDiv w:val="1"/>
      <w:marLeft w:val="0"/>
      <w:marRight w:val="0"/>
      <w:marTop w:val="0"/>
      <w:marBottom w:val="0"/>
      <w:divBdr>
        <w:top w:val="none" w:sz="0" w:space="0" w:color="auto"/>
        <w:left w:val="none" w:sz="0" w:space="0" w:color="auto"/>
        <w:bottom w:val="none" w:sz="0" w:space="0" w:color="auto"/>
        <w:right w:val="none" w:sz="0" w:space="0" w:color="auto"/>
      </w:divBdr>
    </w:div>
    <w:div w:id="2134444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portal.ga.gov.au" TargetMode="External"/><Relationship Id="rId117" Type="http://schemas.openxmlformats.org/officeDocument/2006/relationships/hyperlink" Target="https://doi.org/10.1071/AJ02001" TargetMode="External"/><Relationship Id="rId21" Type="http://schemas.openxmlformats.org/officeDocument/2006/relationships/hyperlink" Target="http://pid.geoscience.gov.au/dataset/ga/41956" TargetMode="External"/><Relationship Id="rId42" Type="http://schemas.openxmlformats.org/officeDocument/2006/relationships/hyperlink" Target="http://www.afma.gov.au/fisheries/western-tuna-and-billfish-fishery/" TargetMode="External"/><Relationship Id="rId47" Type="http://schemas.openxmlformats.org/officeDocument/2006/relationships/hyperlink" Target="http://www.bom.gov.au/climate/data/index.shtml?bookmark=200" TargetMode="External"/><Relationship Id="rId63" Type="http://schemas.openxmlformats.org/officeDocument/2006/relationships/hyperlink" Target="https://doi.org/10.1038/324137a0" TargetMode="External"/><Relationship Id="rId68" Type="http://schemas.openxmlformats.org/officeDocument/2006/relationships/hyperlink" Target="https://www.equinor.com/content/dam/statoil/documents/australia/gab-project/Equinor-Environment-Plan-Rev-1-20190422.pdf" TargetMode="External"/><Relationship Id="rId84" Type="http://schemas.openxmlformats.org/officeDocument/2006/relationships/hyperlink" Target="https://doi.org/10.1029/2010JC006294" TargetMode="External"/><Relationship Id="rId89" Type="http://schemas.openxmlformats.org/officeDocument/2006/relationships/hyperlink" Target="https://doi.org/10.1071/AJ18055" TargetMode="External"/><Relationship Id="rId112" Type="http://schemas.openxmlformats.org/officeDocument/2006/relationships/hyperlink" Target="https://www.equinor.com/en/news/revised-exploration-program-great-australian-bight.html" TargetMode="External"/><Relationship Id="rId133" Type="http://schemas.openxmlformats.org/officeDocument/2006/relationships/header" Target="header2.xml"/><Relationship Id="rId16" Type="http://schemas.openxmlformats.org/officeDocument/2006/relationships/hyperlink" Target="http://pid.geoscience.gov.au/dataset/ga/14621" TargetMode="External"/><Relationship Id="rId107" Type="http://schemas.openxmlformats.org/officeDocument/2006/relationships/hyperlink" Target="http://pid.geoscience.gov.au/dataset/ga/63730" TargetMode="External"/><Relationship Id="rId11" Type="http://schemas.openxmlformats.org/officeDocument/2006/relationships/hyperlink" Target="http://pid.geoscience.gov.au/dataset/ga/65838" TargetMode="External"/><Relationship Id="rId32" Type="http://schemas.openxmlformats.org/officeDocument/2006/relationships/hyperlink" Target="https://parksaustralia.gov.au/marine/parks/south-east/" TargetMode="External"/><Relationship Id="rId37" Type="http://schemas.openxmlformats.org/officeDocument/2006/relationships/hyperlink" Target="http://www.environment.gov.au/heritage/underwater-heritage/auchd" TargetMode="External"/><Relationship Id="rId53" Type="http://schemas.openxmlformats.org/officeDocument/2006/relationships/hyperlink" Target="http://www.afma.gov.au/fisheries/" TargetMode="External"/><Relationship Id="rId58" Type="http://schemas.openxmlformats.org/officeDocument/2006/relationships/hyperlink" Target="http://www.environment.gov.au/webgis-framework/apps/ncva/ncva.jsf" TargetMode="External"/><Relationship Id="rId74" Type="http://schemas.openxmlformats.org/officeDocument/2006/relationships/hyperlink" Target="http://pid.geoscience.gov.au/dataset/ga/58026" TargetMode="External"/><Relationship Id="rId79" Type="http://schemas.openxmlformats.org/officeDocument/2006/relationships/hyperlink" Target="https://doi.org/10.2110/pec.97.56.0001" TargetMode="External"/><Relationship Id="rId102" Type="http://schemas.openxmlformats.org/officeDocument/2006/relationships/hyperlink" Target="https://doi.org/10.1016/j.marpetgeo.2017.09.008" TargetMode="External"/><Relationship Id="rId123" Type="http://schemas.openxmlformats.org/officeDocument/2006/relationships/hyperlink" Target="http://pid.geoscience.gov.au/dataset/ga/41956" TargetMode="External"/><Relationship Id="rId128" Type="http://schemas.openxmlformats.org/officeDocument/2006/relationships/hyperlink" Target="https://www.int-res.com/articles/meps/186/m186p137.pdf" TargetMode="External"/><Relationship Id="rId5" Type="http://schemas.openxmlformats.org/officeDocument/2006/relationships/webSettings" Target="webSettings.xml"/><Relationship Id="rId90" Type="http://schemas.openxmlformats.org/officeDocument/2006/relationships/hyperlink" Target="http://www.misa.net.au/__data/assets/pdf_file/0019/308800/GABRP_Research_Report_Series_Number_32_31072018.pdf" TargetMode="External"/><Relationship Id="rId95" Type="http://schemas.openxmlformats.org/officeDocument/2006/relationships/hyperlink" Target="https://doi.org/10.1016/j.pocean.2007.07.001" TargetMode="External"/><Relationship Id="rId14" Type="http://schemas.openxmlformats.org/officeDocument/2006/relationships/hyperlink" Target="http://pid.geoscience.gov.au/dataset/ga/35932" TargetMode="External"/><Relationship Id="rId22" Type="http://schemas.openxmlformats.org/officeDocument/2006/relationships/hyperlink" Target="http://pid.geoscience.gov.au/dataset/ga/69485" TargetMode="External"/><Relationship Id="rId27" Type="http://schemas.openxmlformats.org/officeDocument/2006/relationships/hyperlink" Target="https://portal.ga.gov.au/persona/energy" TargetMode="External"/><Relationship Id="rId30" Type="http://schemas.openxmlformats.org/officeDocument/2006/relationships/hyperlink" Target="https://parksaustralia.gov.au/marine/pub/plans/south-west-management-plan-2018.pdf" TargetMode="External"/><Relationship Id="rId35" Type="http://schemas.openxmlformats.org/officeDocument/2006/relationships/hyperlink" Target="http://www.environment.sa.gov.au/marineparks/find-a-park/far-west-coast" TargetMode="External"/><Relationship Id="rId43" Type="http://schemas.openxmlformats.org/officeDocument/2006/relationships/hyperlink" Target="http://pir.sa.gov.au/fishing/commercial_fishing" TargetMode="External"/><Relationship Id="rId48" Type="http://schemas.openxmlformats.org/officeDocument/2006/relationships/hyperlink" Target="http://www.environment.gov.au/webgis-framework/apps/ncva/ncva.jsf" TargetMode="External"/><Relationship Id="rId56" Type="http://schemas.openxmlformats.org/officeDocument/2006/relationships/hyperlink" Target="https://www.environment.gov.au/epbc/pmst/index.html" TargetMode="External"/><Relationship Id="rId64" Type="http://schemas.openxmlformats.org/officeDocument/2006/relationships/hyperlink" Target="https://australia.chevron.com/news/2017/chevron-australia-reaffirms-its-long-term-commitment-to-australia" TargetMode="External"/><Relationship Id="rId69" Type="http://schemas.openxmlformats.org/officeDocument/2006/relationships/hyperlink" Target="https://www.equinor.com/en/news/2020-02-australia-exploration.html" TargetMode="External"/><Relationship Id="rId77" Type="http://schemas.openxmlformats.org/officeDocument/2006/relationships/hyperlink" Target="https://doi.org/10.1016/j.margeo.2014.07.007" TargetMode="External"/><Relationship Id="rId100" Type="http://schemas.openxmlformats.org/officeDocument/2006/relationships/hyperlink" Target="https://energymining.sa.gov.au/petroleum/data_and_publications/publications/petroleum_geology_of_south_australia" TargetMode="External"/><Relationship Id="rId105" Type="http://schemas.openxmlformats.org/officeDocument/2006/relationships/hyperlink" Target="https://doi.org/10.1111/fog.12103" TargetMode="External"/><Relationship Id="rId113" Type="http://schemas.openxmlformats.org/officeDocument/2006/relationships/hyperlink" Target="https://doi.org/10.1071/AJ18213" TargetMode="External"/><Relationship Id="rId118" Type="http://schemas.openxmlformats.org/officeDocument/2006/relationships/hyperlink" Target="https://doi.org/10.1029/1998JB900034" TargetMode="External"/><Relationship Id="rId126" Type="http://schemas.openxmlformats.org/officeDocument/2006/relationships/hyperlink" Target="https://www.researchgate.net/publication/236647327_Mid-Late_Cretaceous_organic-rich_rocks_from_the_eastern_Bight_Basin_implications_for_prospectivity" TargetMode="External"/><Relationship Id="rId134" Type="http://schemas.openxmlformats.org/officeDocument/2006/relationships/footer" Target="footer2.xml"/><Relationship Id="rId8" Type="http://schemas.openxmlformats.org/officeDocument/2006/relationships/hyperlink" Target="http://www.bp.com/content/dam/bp-country/en_au/media/media-releases/bp-decides-not-proceed-with-great-australian-bight-exploration.pdf" TargetMode="External"/><Relationship Id="rId51" Type="http://schemas.openxmlformats.org/officeDocument/2006/relationships/hyperlink" Target="http://www.ausseabed.gov.au/about" TargetMode="External"/><Relationship Id="rId72" Type="http://schemas.openxmlformats.org/officeDocument/2006/relationships/hyperlink" Target="https://doi.org/10.1071/AJ78007" TargetMode="External"/><Relationship Id="rId80" Type="http://schemas.openxmlformats.org/officeDocument/2006/relationships/hyperlink" Target="https://doi.org/10.1306/102000710549" TargetMode="External"/><Relationship Id="rId85" Type="http://schemas.openxmlformats.org/officeDocument/2006/relationships/hyperlink" Target="https://doi.org/10.1002/2016GL072096" TargetMode="External"/><Relationship Id="rId93" Type="http://schemas.openxmlformats.org/officeDocument/2006/relationships/hyperlink" Target="https://doi.org/10.1144/jgs2012-093" TargetMode="External"/><Relationship Id="rId98" Type="http://schemas.openxmlformats.org/officeDocument/2006/relationships/hyperlink" Target="https://doi.org/10.1016/C2009-0-64442-1" TargetMode="External"/><Relationship Id="rId121" Type="http://schemas.openxmlformats.org/officeDocument/2006/relationships/hyperlink" Target="http://pid.geoscience.gov.au/dataset/ga/79058" TargetMode="External"/><Relationship Id="rId3" Type="http://schemas.openxmlformats.org/officeDocument/2006/relationships/styles" Target="styles.xml"/><Relationship Id="rId12" Type="http://schemas.openxmlformats.org/officeDocument/2006/relationships/hyperlink" Target="http://pid.geoscience.gov.au/dataset/ga/60958" TargetMode="External"/><Relationship Id="rId17" Type="http://schemas.openxmlformats.org/officeDocument/2006/relationships/hyperlink" Target="http://pid.geoscience.gov.au/dataset/ga/76687" TargetMode="External"/><Relationship Id="rId25" Type="http://schemas.openxmlformats.org/officeDocument/2006/relationships/hyperlink" Target="https://nopims.dmp.wa.gov.au/Nopims/GISMap/Map" TargetMode="External"/><Relationship Id="rId33" Type="http://schemas.openxmlformats.org/officeDocument/2006/relationships/hyperlink" Target="https://parksaustralia.gov.au/marine/pub/plans/se-network-management-plan2013-23.pdf" TargetMode="External"/><Relationship Id="rId38" Type="http://schemas.openxmlformats.org/officeDocument/2006/relationships/hyperlink" Target="http://www.afma.gov.au/fisheries/small-pelagic-fishery/" TargetMode="External"/><Relationship Id="rId46" Type="http://schemas.openxmlformats.org/officeDocument/2006/relationships/hyperlink" Target="http://www.ausseabed.gov.au/" TargetMode="External"/><Relationship Id="rId59" Type="http://schemas.openxmlformats.org/officeDocument/2006/relationships/hyperlink" Target="http://pid.geoscience.gov.au/dataset/ga/68689" TargetMode="External"/><Relationship Id="rId67" Type="http://schemas.openxmlformats.org/officeDocument/2006/relationships/hyperlink" Target="https://doi.org/10.1080/03721426.2016.1203532" TargetMode="External"/><Relationship Id="rId103" Type="http://schemas.openxmlformats.org/officeDocument/2006/relationships/hyperlink" Target="http://pid.geoscience.gov.au/dataset/ga/63721" TargetMode="External"/><Relationship Id="rId108" Type="http://schemas.openxmlformats.org/officeDocument/2006/relationships/hyperlink" Target="https://doi.org/10.1144/GSL.SP.2001.187.01.04" TargetMode="External"/><Relationship Id="rId116" Type="http://schemas.openxmlformats.org/officeDocument/2006/relationships/hyperlink" Target="https://doi.org/10.1071/AJ04029" TargetMode="External"/><Relationship Id="rId124" Type="http://schemas.openxmlformats.org/officeDocument/2006/relationships/hyperlink" Target="http://pid.geoscience.gov.au/dataset/ga/68689" TargetMode="External"/><Relationship Id="rId129" Type="http://schemas.openxmlformats.org/officeDocument/2006/relationships/hyperlink" Target="https://doi.org/10.1016/0040-1951(90)90223-U" TargetMode="External"/><Relationship Id="rId20" Type="http://schemas.openxmlformats.org/officeDocument/2006/relationships/hyperlink" Target="http://pid.geoscience.gov.au/dataset/ga/15198" TargetMode="External"/><Relationship Id="rId41" Type="http://schemas.openxmlformats.org/officeDocument/2006/relationships/hyperlink" Target="http://www.afma.gov.au/fisheries/southern-squid-jig-fishery/" TargetMode="External"/><Relationship Id="rId54" Type="http://schemas.openxmlformats.org/officeDocument/2006/relationships/hyperlink" Target="http://pir.sa.gov.au/fishing/commercial_fishing" TargetMode="External"/><Relationship Id="rId62" Type="http://schemas.openxmlformats.org/officeDocument/2006/relationships/hyperlink" Target="https://doi.org/10.1002/ece3.3500" TargetMode="External"/><Relationship Id="rId70" Type="http://schemas.openxmlformats.org/officeDocument/2006/relationships/hyperlink" Target="http://www.misa.net.au/__data/assets/pdf_file/0018/301923/GABRP_Research_Report_Series_Number_34_31072018.pdf" TargetMode="External"/><Relationship Id="rId75" Type="http://schemas.openxmlformats.org/officeDocument/2006/relationships/hyperlink" Target="https://agupubs.onlinelibrary.wiley.com/doi/pdf/10.1029/EO080i044p00521-01" TargetMode="External"/><Relationship Id="rId83" Type="http://schemas.openxmlformats.org/officeDocument/2006/relationships/hyperlink" Target="https://doi.org/10.1130/0091-7613(1991)019%3C1005:CSEOSA%3E2.3.CO;2" TargetMode="External"/><Relationship Id="rId88" Type="http://schemas.openxmlformats.org/officeDocument/2006/relationships/hyperlink" Target="http://archives.datapages.com/data/petroleum-exploration-society-of-australia/conferences/002/002001/pdfs/63.htm" TargetMode="External"/><Relationship Id="rId91" Type="http://schemas.openxmlformats.org/officeDocument/2006/relationships/hyperlink" Target="https://pubs.geoscienceworld.org/aapgbull/article-lookup/87/6/935" TargetMode="External"/><Relationship Id="rId96" Type="http://schemas.openxmlformats.org/officeDocument/2006/relationships/hyperlink" Target="https://doi.org/10.1029/2000JC000701" TargetMode="External"/><Relationship Id="rId111" Type="http://schemas.openxmlformats.org/officeDocument/2006/relationships/hyperlink" Target="https://doi.org/10.1080/03721426.2007.10887083" TargetMode="External"/><Relationship Id="rId13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id.geoscience.gov.au/dataset/ga/35437" TargetMode="External"/><Relationship Id="rId23" Type="http://schemas.openxmlformats.org/officeDocument/2006/relationships/hyperlink" Target="http://pid.geoscience.gov.au/dataset/ga/34395" TargetMode="External"/><Relationship Id="rId28" Type="http://schemas.openxmlformats.org/officeDocument/2006/relationships/hyperlink" Target="http://pid.geoscience.gov.au/dataset/ga/66031" TargetMode="External"/><Relationship Id="rId36" Type="http://schemas.openxmlformats.org/officeDocument/2006/relationships/hyperlink" Target="https://www.legislation.gov.au/Details/C2018A00085" TargetMode="External"/><Relationship Id="rId49" Type="http://schemas.openxmlformats.org/officeDocument/2006/relationships/hyperlink" Target="https://parksaustralia.gov.au/marine/parks/south-west/" TargetMode="External"/><Relationship Id="rId57" Type="http://schemas.openxmlformats.org/officeDocument/2006/relationships/hyperlink" Target="https://www.ala.org.au/" TargetMode="External"/><Relationship Id="rId106" Type="http://schemas.openxmlformats.org/officeDocument/2006/relationships/hyperlink" Target="http://www.misa.net.au/__data/assets/pdf_file/0019/301924/GABRP_Research_Report_Series_Number_35_31072018.pdf" TargetMode="External"/><Relationship Id="rId114" Type="http://schemas.openxmlformats.org/officeDocument/2006/relationships/hyperlink" Target="http://pid.geoscience.gov.au/dataset/ga/69485" TargetMode="External"/><Relationship Id="rId119" Type="http://schemas.openxmlformats.org/officeDocument/2006/relationships/hyperlink" Target="https://doi.org/10.1071/AJ99007" TargetMode="External"/><Relationship Id="rId127" Type="http://schemas.openxmlformats.org/officeDocument/2006/relationships/hyperlink" Target="http://archives.datapages.com/data/browse/petroleum-exploration-society-of-australia-pesa/conferences/2008/" TargetMode="External"/><Relationship Id="rId10" Type="http://schemas.openxmlformats.org/officeDocument/2006/relationships/hyperlink" Target="http://pid.geoscience.gov.au/dataset/ga/68689" TargetMode="External"/><Relationship Id="rId31" Type="http://schemas.openxmlformats.org/officeDocument/2006/relationships/hyperlink" Target="https://parksaustralia.gov.au/marine/parks/south-east/murray/" TargetMode="External"/><Relationship Id="rId44" Type="http://schemas.openxmlformats.org/officeDocument/2006/relationships/hyperlink" Target="https://ecat.ga.gov.au/geonetwork/srv/eng/catalog.search" TargetMode="External"/><Relationship Id="rId52" Type="http://schemas.openxmlformats.org/officeDocument/2006/relationships/hyperlink" Target="https://www.afma.gov.au/fisheries" TargetMode="External"/><Relationship Id="rId60" Type="http://schemas.openxmlformats.org/officeDocument/2006/relationships/hyperlink" Target="https://www.bp.com/en/global/corporate/news-and-insights/press-releases/bp-decides-not-to-proceed-with-great-australian-bight-exploration.html" TargetMode="External"/><Relationship Id="rId65" Type="http://schemas.openxmlformats.org/officeDocument/2006/relationships/hyperlink" Target="https://doi.org/10.1016/j.orggeochem.2017.12.010" TargetMode="External"/><Relationship Id="rId73" Type="http://schemas.openxmlformats.org/officeDocument/2006/relationships/hyperlink" Target="https://doi.org/10.1071/AJ16133" TargetMode="External"/><Relationship Id="rId78" Type="http://schemas.openxmlformats.org/officeDocument/2006/relationships/hyperlink" Target="http://pid.geoscience.gov.au/dataset/ga/70379" TargetMode="External"/><Relationship Id="rId81" Type="http://schemas.openxmlformats.org/officeDocument/2006/relationships/hyperlink" Target="https://doi.org/10.1306/062303740020" TargetMode="External"/><Relationship Id="rId86" Type="http://schemas.openxmlformats.org/officeDocument/2006/relationships/hyperlink" Target="https://www.asx.com.au/asxpdf/20191128/pdf/44c2c7x8m824zk.pdf" TargetMode="External"/><Relationship Id="rId94" Type="http://schemas.openxmlformats.org/officeDocument/2006/relationships/hyperlink" Target="https://www.environment.gov.au/system/files/resources/625c5416-70a4-4997-ad06-4737f3762c0b/files/gab-benthic-protection-review.pdf" TargetMode="External"/><Relationship Id="rId99" Type="http://schemas.openxmlformats.org/officeDocument/2006/relationships/hyperlink" Target="https://energymining.sa.gov.au/__data/assets/pdf_file/0005/259979/pgsa5_chapter2.pdf" TargetMode="External"/><Relationship Id="rId101" Type="http://schemas.openxmlformats.org/officeDocument/2006/relationships/hyperlink" Target="https://doi.org/10.1071/AJ16187" TargetMode="External"/><Relationship Id="rId122" Type="http://schemas.openxmlformats.org/officeDocument/2006/relationships/hyperlink" Target="https://doi.org/10.1144/GSL.SP.2003.216.01.28" TargetMode="External"/><Relationship Id="rId130" Type="http://schemas.openxmlformats.org/officeDocument/2006/relationships/hyperlink" Target="http://www.misa.net.au/__data/assets/pdf_file/0003/326937/GABRP_Research_Report_Series_Number_33_31072018.pdf" TargetMode="External"/><Relationship Id="rId13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id.geoscience.gov.au/dataset/ga/79058" TargetMode="External"/><Relationship Id="rId13" Type="http://schemas.openxmlformats.org/officeDocument/2006/relationships/hyperlink" Target="http://pid.geoscience.gov.au/dataset/ga/42056" TargetMode="External"/><Relationship Id="rId18" Type="http://schemas.openxmlformats.org/officeDocument/2006/relationships/hyperlink" Target="https://d28rz98at9flks.cloudfront.net/76687/Chart_35_Bight_Basin_2014.pdf" TargetMode="External"/><Relationship Id="rId39" Type="http://schemas.openxmlformats.org/officeDocument/2006/relationships/hyperlink" Target="http://www.afma.gov.au/fisheries/southern-eastern-scalefish-shark-fishery/" TargetMode="External"/><Relationship Id="rId109" Type="http://schemas.openxmlformats.org/officeDocument/2006/relationships/hyperlink" Target="http://pid.geoscience.gov.au/dataset/ga/67359" TargetMode="External"/><Relationship Id="rId34" Type="http://schemas.openxmlformats.org/officeDocument/2006/relationships/hyperlink" Target="https://www.environment.sa.gov.au/marineparks/About" TargetMode="External"/><Relationship Id="rId50" Type="http://schemas.openxmlformats.org/officeDocument/2006/relationships/hyperlink" Target="https://www.environment.sa.gov.au/marineparks/home" TargetMode="External"/><Relationship Id="rId55" Type="http://schemas.openxmlformats.org/officeDocument/2006/relationships/hyperlink" Target="https://www.environment.gov.au/heritage/underwater-heritage" TargetMode="External"/><Relationship Id="rId76" Type="http://schemas.openxmlformats.org/officeDocument/2006/relationships/hyperlink" Target="https://doi.org/10.1071/AJ11017" TargetMode="External"/><Relationship Id="rId97" Type="http://schemas.openxmlformats.org/officeDocument/2006/relationships/hyperlink" Target="https://doi.org/10.1071/AJ00001" TargetMode="External"/><Relationship Id="rId104" Type="http://schemas.openxmlformats.org/officeDocument/2006/relationships/hyperlink" Target="https://doi.org/10.1029/2003JC001921" TargetMode="External"/><Relationship Id="rId120" Type="http://schemas.openxmlformats.org/officeDocument/2006/relationships/hyperlink" Target="http://archives.datapages.com/data/petroleum-exploration-society-of-australia/conferences/002/002001/pdfs/41.html" TargetMode="External"/><Relationship Id="rId125" Type="http://schemas.openxmlformats.org/officeDocument/2006/relationships/hyperlink" Target="https://d28rz98at9flks.cloudfront.net/76687/Chart_35_Bight_Basin_2014.pdf" TargetMode="External"/><Relationship Id="rId7" Type="http://schemas.openxmlformats.org/officeDocument/2006/relationships/endnotes" Target="endnotes.xml"/><Relationship Id="rId71" Type="http://schemas.openxmlformats.org/officeDocument/2006/relationships/hyperlink" Target="https://doi.org/10.24199/j.mvsr.2019.21" TargetMode="External"/><Relationship Id="rId92" Type="http://schemas.openxmlformats.org/officeDocument/2006/relationships/hyperlink" Target="https://doi.org/10.1016/j.marpetgeo.2016.04.006" TargetMode="External"/><Relationship Id="rId2" Type="http://schemas.openxmlformats.org/officeDocument/2006/relationships/numbering" Target="numbering.xml"/><Relationship Id="rId29" Type="http://schemas.openxmlformats.org/officeDocument/2006/relationships/hyperlink" Target="https://parksaustralia.gov.au/marine/parks/south-west/" TargetMode="External"/><Relationship Id="rId24" Type="http://schemas.openxmlformats.org/officeDocument/2006/relationships/hyperlink" Target="https://nopims.dmp.wa.gov.au/Nopims/" TargetMode="External"/><Relationship Id="rId40" Type="http://schemas.openxmlformats.org/officeDocument/2006/relationships/hyperlink" Target="http://www.afma.gov.au/fisheries/southern-bluefin-tuna-fishery/" TargetMode="External"/><Relationship Id="rId45" Type="http://schemas.openxmlformats.org/officeDocument/2006/relationships/hyperlink" Target="https://marine.ga.gov.au/" TargetMode="External"/><Relationship Id="rId66" Type="http://schemas.openxmlformats.org/officeDocument/2006/relationships/hyperlink" Target="https://www.pesa.com.au/library/pesa_journal_no-_26_p106-129-pdf/" TargetMode="External"/><Relationship Id="rId87" Type="http://schemas.openxmlformats.org/officeDocument/2006/relationships/hyperlink" Target="https://doi.org/10.1071/AJ16222" TargetMode="External"/><Relationship Id="rId110" Type="http://schemas.openxmlformats.org/officeDocument/2006/relationships/hyperlink" Target="https://doi.org/10.1071/AJ94014" TargetMode="External"/><Relationship Id="rId115" Type="http://schemas.openxmlformats.org/officeDocument/2006/relationships/hyperlink" Target="https://dx.doi.org/10.1093%2Fbiosci%2Fbiw180" TargetMode="External"/><Relationship Id="rId131" Type="http://schemas.openxmlformats.org/officeDocument/2006/relationships/header" Target="header1.xml"/><Relationship Id="rId136" Type="http://schemas.openxmlformats.org/officeDocument/2006/relationships/theme" Target="theme/theme1.xml"/><Relationship Id="rId61" Type="http://schemas.openxmlformats.org/officeDocument/2006/relationships/hyperlink" Target="http://pid.geoscience.gov.au/dataset/ga/42056" TargetMode="External"/><Relationship Id="rId82" Type="http://schemas.openxmlformats.org/officeDocument/2006/relationships/hyperlink" Target="https://doi.org/10.1130/0091-7613(2000)28%3C647:QBRMIC%3E2.0.CO;2" TargetMode="External"/><Relationship Id="rId19" Type="http://schemas.openxmlformats.org/officeDocument/2006/relationships/hyperlink" Target="http://pid.geoscience.gov.au/dataset/ga/67359"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ga.gov.au/petroleum" TargetMode="External"/><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N:\gav\GRAPHIC%20DESIGN\zDaniel_WIP\15-9197_Acreage%20Release%20Template_Wall\2104AR_RegionalTemplate_0601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E0425-43AD-442C-ADFE-DD92EDA73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2104AR_RegionalTemplate_060114.dotx</Template>
  <TotalTime>24</TotalTime>
  <Pages>22</Pages>
  <Words>12552</Words>
  <Characters>82978</Characters>
  <Application>Microsoft Office Word</Application>
  <DocSecurity>0</DocSecurity>
  <Lines>691</Lines>
  <Paragraphs>190</Paragraphs>
  <ScaleCrop>false</ScaleCrop>
  <HeadingPairs>
    <vt:vector size="2" baseType="variant">
      <vt:variant>
        <vt:lpstr>Title</vt:lpstr>
      </vt:variant>
      <vt:variant>
        <vt:i4>1</vt:i4>
      </vt:variant>
    </vt:vector>
  </HeadingPairs>
  <TitlesOfParts>
    <vt:vector size="1" baseType="lpstr">
      <vt:lpstr>HEADING 1</vt:lpstr>
    </vt:vector>
  </TitlesOfParts>
  <Company>DIISR</Company>
  <LinksUpToDate>false</LinksUpToDate>
  <CharactersWithSpaces>95340</CharactersWithSpaces>
  <SharedDoc>false</SharedDoc>
  <HLinks>
    <vt:vector size="534" baseType="variant">
      <vt:variant>
        <vt:i4>4325488</vt:i4>
      </vt:variant>
      <vt:variant>
        <vt:i4>264</vt:i4>
      </vt:variant>
      <vt:variant>
        <vt:i4>0</vt:i4>
      </vt:variant>
      <vt:variant>
        <vt:i4>5</vt:i4>
      </vt:variant>
      <vt:variant>
        <vt:lpwstr>http://www.searchanddiscovery.com/abstracts/pdf/2010/annual/abstracts/ndx_simon.pdf</vt:lpwstr>
      </vt:variant>
      <vt:variant>
        <vt:lpwstr/>
      </vt:variant>
      <vt:variant>
        <vt:i4>6357115</vt:i4>
      </vt:variant>
      <vt:variant>
        <vt:i4>261</vt:i4>
      </vt:variant>
      <vt:variant>
        <vt:i4>0</vt:i4>
      </vt:variant>
      <vt:variant>
        <vt:i4>5</vt:i4>
      </vt:variant>
      <vt:variant>
        <vt:lpwstr>http://www.santos.com/library/181012_Third_Quarter_Activities_Report.pdf</vt:lpwstr>
      </vt:variant>
      <vt:variant>
        <vt:lpwstr/>
      </vt:variant>
      <vt:variant>
        <vt:i4>6684760</vt:i4>
      </vt:variant>
      <vt:variant>
        <vt:i4>258</vt:i4>
      </vt:variant>
      <vt:variant>
        <vt:i4>0</vt:i4>
      </vt:variant>
      <vt:variant>
        <vt:i4>5</vt:i4>
      </vt:variant>
      <vt:variant>
        <vt:lpwstr>http://www.santos.com/library/110909_International_Investor_Presentation.pdf</vt:lpwstr>
      </vt:variant>
      <vt:variant>
        <vt:lpwstr/>
      </vt:variant>
      <vt:variant>
        <vt:i4>6291577</vt:i4>
      </vt:variant>
      <vt:variant>
        <vt:i4>255</vt:i4>
      </vt:variant>
      <vt:variant>
        <vt:i4>0</vt:i4>
      </vt:variant>
      <vt:variant>
        <vt:i4>5</vt:i4>
      </vt:variant>
      <vt:variant>
        <vt:lpwstr>http://www.santos.com/library/081023_Third_Quarter_Activities_Report.pdf</vt:lpwstr>
      </vt:variant>
      <vt:variant>
        <vt:lpwstr/>
      </vt:variant>
      <vt:variant>
        <vt:i4>2818114</vt:i4>
      </vt:variant>
      <vt:variant>
        <vt:i4>252</vt:i4>
      </vt:variant>
      <vt:variant>
        <vt:i4>0</vt:i4>
      </vt:variant>
      <vt:variant>
        <vt:i4>5</vt:i4>
      </vt:variant>
      <vt:variant>
        <vt:lpwstr>http://www.pttep.com/en/ourBusiness_EAndPprojectsDetail.aspx?ContentID=94</vt:lpwstr>
      </vt:variant>
      <vt:variant>
        <vt:lpwstr/>
      </vt:variant>
      <vt:variant>
        <vt:i4>3211273</vt:i4>
      </vt:variant>
      <vt:variant>
        <vt:i4>249</vt:i4>
      </vt:variant>
      <vt:variant>
        <vt:i4>0</vt:i4>
      </vt:variant>
      <vt:variant>
        <vt:i4>5</vt:i4>
      </vt:variant>
      <vt:variant>
        <vt:lpwstr>https://www.ga.gov.au/products/servlet/controller?event=GEOCAT_DETAILS&amp;catno=69210</vt:lpwstr>
      </vt:variant>
      <vt:variant>
        <vt:lpwstr/>
      </vt:variant>
      <vt:variant>
        <vt:i4>6225985</vt:i4>
      </vt:variant>
      <vt:variant>
        <vt:i4>246</vt:i4>
      </vt:variant>
      <vt:variant>
        <vt:i4>0</vt:i4>
      </vt:variant>
      <vt:variant>
        <vt:i4>5</vt:i4>
      </vt:variant>
      <vt:variant>
        <vt:lpwstr>http://mecresources.com.au/doc/MEC Resources AR2011final.pdf</vt:lpwstr>
      </vt:variant>
      <vt:variant>
        <vt:lpwstr/>
      </vt:variant>
      <vt:variant>
        <vt:i4>458757</vt:i4>
      </vt:variant>
      <vt:variant>
        <vt:i4>243</vt:i4>
      </vt:variant>
      <vt:variant>
        <vt:i4>0</vt:i4>
      </vt:variant>
      <vt:variant>
        <vt:i4>5</vt:i4>
      </vt:variant>
      <vt:variant>
        <vt:lpwstr>http://www.inpex.com.au/projects/ichthys-project.aspx</vt:lpwstr>
      </vt:variant>
      <vt:variant>
        <vt:lpwstr/>
      </vt:variant>
      <vt:variant>
        <vt:i4>6619231</vt:i4>
      </vt:variant>
      <vt:variant>
        <vt:i4>240</vt:i4>
      </vt:variant>
      <vt:variant>
        <vt:i4>0</vt:i4>
      </vt:variant>
      <vt:variant>
        <vt:i4>5</vt:i4>
      </vt:variant>
      <vt:variant>
        <vt:lpwstr>http://www.sciencedirect.com/science?_ob=ArticleURL&amp;_udi=B6V9Y-4D98JHH-1&amp;_user=1051755&amp;_rdoc=1&amp;_fmt=&amp;_orig=search&amp;_sort=d&amp;view=c&amp;_acct=C000050979&amp;_version=1&amp;_urlVersion=0&amp;_userid=1051755&amp;md5=f025719a44068cf4d44f0c2b909da357</vt:lpwstr>
      </vt:variant>
      <vt:variant>
        <vt:lpwstr>bbib24#bbib24</vt:lpwstr>
      </vt:variant>
      <vt:variant>
        <vt:i4>3211269</vt:i4>
      </vt:variant>
      <vt:variant>
        <vt:i4>237</vt:i4>
      </vt:variant>
      <vt:variant>
        <vt:i4>0</vt:i4>
      </vt:variant>
      <vt:variant>
        <vt:i4>5</vt:i4>
      </vt:variant>
      <vt:variant>
        <vt:lpwstr>https://www.ga.gov.au/products/servlet/controller?event=GEOCAT_DETAILS&amp;catno=70142</vt:lpwstr>
      </vt:variant>
      <vt:variant>
        <vt:lpwstr/>
      </vt:variant>
      <vt:variant>
        <vt:i4>3211269</vt:i4>
      </vt:variant>
      <vt:variant>
        <vt:i4>234</vt:i4>
      </vt:variant>
      <vt:variant>
        <vt:i4>0</vt:i4>
      </vt:variant>
      <vt:variant>
        <vt:i4>5</vt:i4>
      </vt:variant>
      <vt:variant>
        <vt:lpwstr>https://www.ga.gov.au/products/servlet/controller?event=GEOCAT_DETAILS&amp;catno=70142</vt:lpwstr>
      </vt:variant>
      <vt:variant>
        <vt:lpwstr/>
      </vt:variant>
      <vt:variant>
        <vt:i4>6225960</vt:i4>
      </vt:variant>
      <vt:variant>
        <vt:i4>231</vt:i4>
      </vt:variant>
      <vt:variant>
        <vt:i4>0</vt:i4>
      </vt:variant>
      <vt:variant>
        <vt:i4>5</vt:i4>
      </vt:variant>
      <vt:variant>
        <vt:lpwstr>http://www.gdfsuezbonaparte.com.au/wp-content/uploads/1.-Bonaparte-LNG-Overview__BLNG-ERM-REP-BH01-00024-0.0_Protected.pdf</vt:lpwstr>
      </vt:variant>
      <vt:variant>
        <vt:lpwstr/>
      </vt:variant>
      <vt:variant>
        <vt:i4>4063255</vt:i4>
      </vt:variant>
      <vt:variant>
        <vt:i4>228</vt:i4>
      </vt:variant>
      <vt:variant>
        <vt:i4>0</vt:i4>
      </vt:variant>
      <vt:variant>
        <vt:i4>5</vt:i4>
      </vt:variant>
      <vt:variant>
        <vt:lpwstr>https://www.ga.gov.au/products/servlet/controller?event=FILE_SELECTION&amp;catno=37512</vt:lpwstr>
      </vt:variant>
      <vt:variant>
        <vt:lpwstr/>
      </vt:variant>
      <vt:variant>
        <vt:i4>6160451</vt:i4>
      </vt:variant>
      <vt:variant>
        <vt:i4>225</vt:i4>
      </vt:variant>
      <vt:variant>
        <vt:i4>0</vt:i4>
      </vt:variant>
      <vt:variant>
        <vt:i4>5</vt:i4>
      </vt:variant>
      <vt:variant>
        <vt:lpwstr>http://www.nt.gov.au/d/Minerals_Energy/Content/File/pdf/PetroleumSummaries/2011_EnergyNT.pdf</vt:lpwstr>
      </vt:variant>
      <vt:variant>
        <vt:lpwstr/>
      </vt:variant>
      <vt:variant>
        <vt:i4>6160450</vt:i4>
      </vt:variant>
      <vt:variant>
        <vt:i4>222</vt:i4>
      </vt:variant>
      <vt:variant>
        <vt:i4>0</vt:i4>
      </vt:variant>
      <vt:variant>
        <vt:i4>5</vt:i4>
      </vt:variant>
      <vt:variant>
        <vt:lpwstr>http://www.nt.gov.au/d/Minerals_Energy/Content/File/pdf/PetroleumSummaries/2010_EnergyNT.pdf</vt:lpwstr>
      </vt:variant>
      <vt:variant>
        <vt:lpwstr/>
      </vt:variant>
      <vt:variant>
        <vt:i4>3473415</vt:i4>
      </vt:variant>
      <vt:variant>
        <vt:i4>219</vt:i4>
      </vt:variant>
      <vt:variant>
        <vt:i4>0</vt:i4>
      </vt:variant>
      <vt:variant>
        <vt:i4>5</vt:i4>
      </vt:variant>
      <vt:variant>
        <vt:lpwstr>http://www.dmp.wa.gov.au/documents/121750_Petroleum_WA_.pdf</vt:lpwstr>
      </vt:variant>
      <vt:variant>
        <vt:lpwstr/>
      </vt:variant>
      <vt:variant>
        <vt:i4>3538967</vt:i4>
      </vt:variant>
      <vt:variant>
        <vt:i4>216</vt:i4>
      </vt:variant>
      <vt:variant>
        <vt:i4>0</vt:i4>
      </vt:variant>
      <vt:variant>
        <vt:i4>5</vt:i4>
      </vt:variant>
      <vt:variant>
        <vt:lpwstr>http://www.dmp.wa.gov.au/documents/111352_PWA_September_2011.pdf</vt:lpwstr>
      </vt:variant>
      <vt:variant>
        <vt:lpwstr/>
      </vt:variant>
      <vt:variant>
        <vt:i4>5898252</vt:i4>
      </vt:variant>
      <vt:variant>
        <vt:i4>213</vt:i4>
      </vt:variant>
      <vt:variant>
        <vt:i4>0</vt:i4>
      </vt:variant>
      <vt:variant>
        <vt:i4>5</vt:i4>
      </vt:variant>
      <vt:variant>
        <vt:lpwstr>http://www.austlii.edu.au/au/other/dfat/treaties/2003/13.html</vt:lpwstr>
      </vt:variant>
      <vt:variant>
        <vt:lpwstr/>
      </vt:variant>
      <vt:variant>
        <vt:i4>4980780</vt:i4>
      </vt:variant>
      <vt:variant>
        <vt:i4>210</vt:i4>
      </vt:variant>
      <vt:variant>
        <vt:i4>0</vt:i4>
      </vt:variant>
      <vt:variant>
        <vt:i4>5</vt:i4>
      </vt:variant>
      <vt:variant>
        <vt:lpwstr/>
      </vt:variant>
      <vt:variant>
        <vt:lpwstr>Figure_5</vt:lpwstr>
      </vt:variant>
      <vt:variant>
        <vt:i4>4849708</vt:i4>
      </vt:variant>
      <vt:variant>
        <vt:i4>207</vt:i4>
      </vt:variant>
      <vt:variant>
        <vt:i4>0</vt:i4>
      </vt:variant>
      <vt:variant>
        <vt:i4>5</vt:i4>
      </vt:variant>
      <vt:variant>
        <vt:lpwstr/>
      </vt:variant>
      <vt:variant>
        <vt:lpwstr>Figure_3</vt:lpwstr>
      </vt:variant>
      <vt:variant>
        <vt:i4>4718636</vt:i4>
      </vt:variant>
      <vt:variant>
        <vt:i4>204</vt:i4>
      </vt:variant>
      <vt:variant>
        <vt:i4>0</vt:i4>
      </vt:variant>
      <vt:variant>
        <vt:i4>5</vt:i4>
      </vt:variant>
      <vt:variant>
        <vt:lpwstr/>
      </vt:variant>
      <vt:variant>
        <vt:lpwstr>Figure_1</vt:lpwstr>
      </vt:variant>
      <vt:variant>
        <vt:i4>4980780</vt:i4>
      </vt:variant>
      <vt:variant>
        <vt:i4>201</vt:i4>
      </vt:variant>
      <vt:variant>
        <vt:i4>0</vt:i4>
      </vt:variant>
      <vt:variant>
        <vt:i4>5</vt:i4>
      </vt:variant>
      <vt:variant>
        <vt:lpwstr/>
      </vt:variant>
      <vt:variant>
        <vt:lpwstr>Figure_5</vt:lpwstr>
      </vt:variant>
      <vt:variant>
        <vt:i4>5046316</vt:i4>
      </vt:variant>
      <vt:variant>
        <vt:i4>198</vt:i4>
      </vt:variant>
      <vt:variant>
        <vt:i4>0</vt:i4>
      </vt:variant>
      <vt:variant>
        <vt:i4>5</vt:i4>
      </vt:variant>
      <vt:variant>
        <vt:lpwstr/>
      </vt:variant>
      <vt:variant>
        <vt:lpwstr>Figure_4</vt:lpwstr>
      </vt:variant>
      <vt:variant>
        <vt:i4>4849708</vt:i4>
      </vt:variant>
      <vt:variant>
        <vt:i4>195</vt:i4>
      </vt:variant>
      <vt:variant>
        <vt:i4>0</vt:i4>
      </vt:variant>
      <vt:variant>
        <vt:i4>5</vt:i4>
      </vt:variant>
      <vt:variant>
        <vt:lpwstr/>
      </vt:variant>
      <vt:variant>
        <vt:lpwstr>Figure_3</vt:lpwstr>
      </vt:variant>
      <vt:variant>
        <vt:i4>4718636</vt:i4>
      </vt:variant>
      <vt:variant>
        <vt:i4>192</vt:i4>
      </vt:variant>
      <vt:variant>
        <vt:i4>0</vt:i4>
      </vt:variant>
      <vt:variant>
        <vt:i4>5</vt:i4>
      </vt:variant>
      <vt:variant>
        <vt:lpwstr/>
      </vt:variant>
      <vt:variant>
        <vt:lpwstr>Figure_1</vt:lpwstr>
      </vt:variant>
      <vt:variant>
        <vt:i4>4980780</vt:i4>
      </vt:variant>
      <vt:variant>
        <vt:i4>189</vt:i4>
      </vt:variant>
      <vt:variant>
        <vt:i4>0</vt:i4>
      </vt:variant>
      <vt:variant>
        <vt:i4>5</vt:i4>
      </vt:variant>
      <vt:variant>
        <vt:lpwstr/>
      </vt:variant>
      <vt:variant>
        <vt:lpwstr>Figure_5</vt:lpwstr>
      </vt:variant>
      <vt:variant>
        <vt:i4>5046316</vt:i4>
      </vt:variant>
      <vt:variant>
        <vt:i4>186</vt:i4>
      </vt:variant>
      <vt:variant>
        <vt:i4>0</vt:i4>
      </vt:variant>
      <vt:variant>
        <vt:i4>5</vt:i4>
      </vt:variant>
      <vt:variant>
        <vt:lpwstr/>
      </vt:variant>
      <vt:variant>
        <vt:lpwstr>Figure_4</vt:lpwstr>
      </vt:variant>
      <vt:variant>
        <vt:i4>4980780</vt:i4>
      </vt:variant>
      <vt:variant>
        <vt:i4>183</vt:i4>
      </vt:variant>
      <vt:variant>
        <vt:i4>0</vt:i4>
      </vt:variant>
      <vt:variant>
        <vt:i4>5</vt:i4>
      </vt:variant>
      <vt:variant>
        <vt:lpwstr/>
      </vt:variant>
      <vt:variant>
        <vt:lpwstr>Figure_5</vt:lpwstr>
      </vt:variant>
      <vt:variant>
        <vt:i4>5046316</vt:i4>
      </vt:variant>
      <vt:variant>
        <vt:i4>180</vt:i4>
      </vt:variant>
      <vt:variant>
        <vt:i4>0</vt:i4>
      </vt:variant>
      <vt:variant>
        <vt:i4>5</vt:i4>
      </vt:variant>
      <vt:variant>
        <vt:lpwstr/>
      </vt:variant>
      <vt:variant>
        <vt:lpwstr>Figure_4</vt:lpwstr>
      </vt:variant>
      <vt:variant>
        <vt:i4>4718636</vt:i4>
      </vt:variant>
      <vt:variant>
        <vt:i4>177</vt:i4>
      </vt:variant>
      <vt:variant>
        <vt:i4>0</vt:i4>
      </vt:variant>
      <vt:variant>
        <vt:i4>5</vt:i4>
      </vt:variant>
      <vt:variant>
        <vt:lpwstr/>
      </vt:variant>
      <vt:variant>
        <vt:lpwstr>Figure_1</vt:lpwstr>
      </vt:variant>
      <vt:variant>
        <vt:i4>4915244</vt:i4>
      </vt:variant>
      <vt:variant>
        <vt:i4>174</vt:i4>
      </vt:variant>
      <vt:variant>
        <vt:i4>0</vt:i4>
      </vt:variant>
      <vt:variant>
        <vt:i4>5</vt:i4>
      </vt:variant>
      <vt:variant>
        <vt:lpwstr/>
      </vt:variant>
      <vt:variant>
        <vt:lpwstr>Figure_2</vt:lpwstr>
      </vt:variant>
      <vt:variant>
        <vt:i4>4849708</vt:i4>
      </vt:variant>
      <vt:variant>
        <vt:i4>171</vt:i4>
      </vt:variant>
      <vt:variant>
        <vt:i4>0</vt:i4>
      </vt:variant>
      <vt:variant>
        <vt:i4>5</vt:i4>
      </vt:variant>
      <vt:variant>
        <vt:lpwstr/>
      </vt:variant>
      <vt:variant>
        <vt:lpwstr>Figure_3</vt:lpwstr>
      </vt:variant>
      <vt:variant>
        <vt:i4>4849708</vt:i4>
      </vt:variant>
      <vt:variant>
        <vt:i4>168</vt:i4>
      </vt:variant>
      <vt:variant>
        <vt:i4>0</vt:i4>
      </vt:variant>
      <vt:variant>
        <vt:i4>5</vt:i4>
      </vt:variant>
      <vt:variant>
        <vt:lpwstr/>
      </vt:variant>
      <vt:variant>
        <vt:lpwstr>Figure_3</vt:lpwstr>
      </vt:variant>
      <vt:variant>
        <vt:i4>4915244</vt:i4>
      </vt:variant>
      <vt:variant>
        <vt:i4>165</vt:i4>
      </vt:variant>
      <vt:variant>
        <vt:i4>0</vt:i4>
      </vt:variant>
      <vt:variant>
        <vt:i4>5</vt:i4>
      </vt:variant>
      <vt:variant>
        <vt:lpwstr/>
      </vt:variant>
      <vt:variant>
        <vt:lpwstr>Figure_2</vt:lpwstr>
      </vt:variant>
      <vt:variant>
        <vt:i4>5046316</vt:i4>
      </vt:variant>
      <vt:variant>
        <vt:i4>162</vt:i4>
      </vt:variant>
      <vt:variant>
        <vt:i4>0</vt:i4>
      </vt:variant>
      <vt:variant>
        <vt:i4>5</vt:i4>
      </vt:variant>
      <vt:variant>
        <vt:lpwstr/>
      </vt:variant>
      <vt:variant>
        <vt:lpwstr>Figure_4</vt:lpwstr>
      </vt:variant>
      <vt:variant>
        <vt:i4>4915244</vt:i4>
      </vt:variant>
      <vt:variant>
        <vt:i4>159</vt:i4>
      </vt:variant>
      <vt:variant>
        <vt:i4>0</vt:i4>
      </vt:variant>
      <vt:variant>
        <vt:i4>5</vt:i4>
      </vt:variant>
      <vt:variant>
        <vt:lpwstr/>
      </vt:variant>
      <vt:variant>
        <vt:lpwstr>Figure_2</vt:lpwstr>
      </vt:variant>
      <vt:variant>
        <vt:i4>4980780</vt:i4>
      </vt:variant>
      <vt:variant>
        <vt:i4>156</vt:i4>
      </vt:variant>
      <vt:variant>
        <vt:i4>0</vt:i4>
      </vt:variant>
      <vt:variant>
        <vt:i4>5</vt:i4>
      </vt:variant>
      <vt:variant>
        <vt:lpwstr/>
      </vt:variant>
      <vt:variant>
        <vt:lpwstr>Figure_5</vt:lpwstr>
      </vt:variant>
      <vt:variant>
        <vt:i4>4980780</vt:i4>
      </vt:variant>
      <vt:variant>
        <vt:i4>153</vt:i4>
      </vt:variant>
      <vt:variant>
        <vt:i4>0</vt:i4>
      </vt:variant>
      <vt:variant>
        <vt:i4>5</vt:i4>
      </vt:variant>
      <vt:variant>
        <vt:lpwstr/>
      </vt:variant>
      <vt:variant>
        <vt:lpwstr>Figure_5</vt:lpwstr>
      </vt:variant>
      <vt:variant>
        <vt:i4>4980780</vt:i4>
      </vt:variant>
      <vt:variant>
        <vt:i4>150</vt:i4>
      </vt:variant>
      <vt:variant>
        <vt:i4>0</vt:i4>
      </vt:variant>
      <vt:variant>
        <vt:i4>5</vt:i4>
      </vt:variant>
      <vt:variant>
        <vt:lpwstr/>
      </vt:variant>
      <vt:variant>
        <vt:lpwstr>Figure_5</vt:lpwstr>
      </vt:variant>
      <vt:variant>
        <vt:i4>4915244</vt:i4>
      </vt:variant>
      <vt:variant>
        <vt:i4>147</vt:i4>
      </vt:variant>
      <vt:variant>
        <vt:i4>0</vt:i4>
      </vt:variant>
      <vt:variant>
        <vt:i4>5</vt:i4>
      </vt:variant>
      <vt:variant>
        <vt:lpwstr/>
      </vt:variant>
      <vt:variant>
        <vt:lpwstr>Figure_2</vt:lpwstr>
      </vt:variant>
      <vt:variant>
        <vt:i4>4718636</vt:i4>
      </vt:variant>
      <vt:variant>
        <vt:i4>144</vt:i4>
      </vt:variant>
      <vt:variant>
        <vt:i4>0</vt:i4>
      </vt:variant>
      <vt:variant>
        <vt:i4>5</vt:i4>
      </vt:variant>
      <vt:variant>
        <vt:lpwstr/>
      </vt:variant>
      <vt:variant>
        <vt:lpwstr>Figure_10</vt:lpwstr>
      </vt:variant>
      <vt:variant>
        <vt:i4>4718636</vt:i4>
      </vt:variant>
      <vt:variant>
        <vt:i4>141</vt:i4>
      </vt:variant>
      <vt:variant>
        <vt:i4>0</vt:i4>
      </vt:variant>
      <vt:variant>
        <vt:i4>5</vt:i4>
      </vt:variant>
      <vt:variant>
        <vt:lpwstr/>
      </vt:variant>
      <vt:variant>
        <vt:lpwstr>Figure_10</vt:lpwstr>
      </vt:variant>
      <vt:variant>
        <vt:i4>4718636</vt:i4>
      </vt:variant>
      <vt:variant>
        <vt:i4>138</vt:i4>
      </vt:variant>
      <vt:variant>
        <vt:i4>0</vt:i4>
      </vt:variant>
      <vt:variant>
        <vt:i4>5</vt:i4>
      </vt:variant>
      <vt:variant>
        <vt:lpwstr/>
      </vt:variant>
      <vt:variant>
        <vt:lpwstr>Figure_10</vt:lpwstr>
      </vt:variant>
      <vt:variant>
        <vt:i4>4718636</vt:i4>
      </vt:variant>
      <vt:variant>
        <vt:i4>135</vt:i4>
      </vt:variant>
      <vt:variant>
        <vt:i4>0</vt:i4>
      </vt:variant>
      <vt:variant>
        <vt:i4>5</vt:i4>
      </vt:variant>
      <vt:variant>
        <vt:lpwstr/>
      </vt:variant>
      <vt:variant>
        <vt:lpwstr>Figure_10</vt:lpwstr>
      </vt:variant>
      <vt:variant>
        <vt:i4>4718636</vt:i4>
      </vt:variant>
      <vt:variant>
        <vt:i4>132</vt:i4>
      </vt:variant>
      <vt:variant>
        <vt:i4>0</vt:i4>
      </vt:variant>
      <vt:variant>
        <vt:i4>5</vt:i4>
      </vt:variant>
      <vt:variant>
        <vt:lpwstr/>
      </vt:variant>
      <vt:variant>
        <vt:lpwstr>Figure_10</vt:lpwstr>
      </vt:variant>
      <vt:variant>
        <vt:i4>4718636</vt:i4>
      </vt:variant>
      <vt:variant>
        <vt:i4>129</vt:i4>
      </vt:variant>
      <vt:variant>
        <vt:i4>0</vt:i4>
      </vt:variant>
      <vt:variant>
        <vt:i4>5</vt:i4>
      </vt:variant>
      <vt:variant>
        <vt:lpwstr/>
      </vt:variant>
      <vt:variant>
        <vt:lpwstr>Figure_1</vt:lpwstr>
      </vt:variant>
      <vt:variant>
        <vt:i4>5046316</vt:i4>
      </vt:variant>
      <vt:variant>
        <vt:i4>126</vt:i4>
      </vt:variant>
      <vt:variant>
        <vt:i4>0</vt:i4>
      </vt:variant>
      <vt:variant>
        <vt:i4>5</vt:i4>
      </vt:variant>
      <vt:variant>
        <vt:lpwstr/>
      </vt:variant>
      <vt:variant>
        <vt:lpwstr>Figure_4</vt:lpwstr>
      </vt:variant>
      <vt:variant>
        <vt:i4>4980780</vt:i4>
      </vt:variant>
      <vt:variant>
        <vt:i4>123</vt:i4>
      </vt:variant>
      <vt:variant>
        <vt:i4>0</vt:i4>
      </vt:variant>
      <vt:variant>
        <vt:i4>5</vt:i4>
      </vt:variant>
      <vt:variant>
        <vt:lpwstr/>
      </vt:variant>
      <vt:variant>
        <vt:lpwstr>Figure_5</vt:lpwstr>
      </vt:variant>
      <vt:variant>
        <vt:i4>5046316</vt:i4>
      </vt:variant>
      <vt:variant>
        <vt:i4>120</vt:i4>
      </vt:variant>
      <vt:variant>
        <vt:i4>0</vt:i4>
      </vt:variant>
      <vt:variant>
        <vt:i4>5</vt:i4>
      </vt:variant>
      <vt:variant>
        <vt:lpwstr/>
      </vt:variant>
      <vt:variant>
        <vt:lpwstr>Figure_4</vt:lpwstr>
      </vt:variant>
      <vt:variant>
        <vt:i4>65624</vt:i4>
      </vt:variant>
      <vt:variant>
        <vt:i4>117</vt:i4>
      </vt:variant>
      <vt:variant>
        <vt:i4>0</vt:i4>
      </vt:variant>
      <vt:variant>
        <vt:i4>5</vt:i4>
      </vt:variant>
      <vt:variant>
        <vt:lpwstr>Geology_Northern_Petrel.doc</vt:lpwstr>
      </vt:variant>
      <vt:variant>
        <vt:lpwstr/>
      </vt:variant>
      <vt:variant>
        <vt:i4>4849708</vt:i4>
      </vt:variant>
      <vt:variant>
        <vt:i4>114</vt:i4>
      </vt:variant>
      <vt:variant>
        <vt:i4>0</vt:i4>
      </vt:variant>
      <vt:variant>
        <vt:i4>5</vt:i4>
      </vt:variant>
      <vt:variant>
        <vt:lpwstr/>
      </vt:variant>
      <vt:variant>
        <vt:lpwstr>Figure_3</vt:lpwstr>
      </vt:variant>
      <vt:variant>
        <vt:i4>4718636</vt:i4>
      </vt:variant>
      <vt:variant>
        <vt:i4>111</vt:i4>
      </vt:variant>
      <vt:variant>
        <vt:i4>0</vt:i4>
      </vt:variant>
      <vt:variant>
        <vt:i4>5</vt:i4>
      </vt:variant>
      <vt:variant>
        <vt:lpwstr/>
      </vt:variant>
      <vt:variant>
        <vt:lpwstr>Figure_1</vt:lpwstr>
      </vt:variant>
      <vt:variant>
        <vt:i4>4194348</vt:i4>
      </vt:variant>
      <vt:variant>
        <vt:i4>108</vt:i4>
      </vt:variant>
      <vt:variant>
        <vt:i4>0</vt:i4>
      </vt:variant>
      <vt:variant>
        <vt:i4>5</vt:i4>
      </vt:variant>
      <vt:variant>
        <vt:lpwstr/>
      </vt:variant>
      <vt:variant>
        <vt:lpwstr>Figure_9</vt:lpwstr>
      </vt:variant>
      <vt:variant>
        <vt:i4>4718636</vt:i4>
      </vt:variant>
      <vt:variant>
        <vt:i4>105</vt:i4>
      </vt:variant>
      <vt:variant>
        <vt:i4>0</vt:i4>
      </vt:variant>
      <vt:variant>
        <vt:i4>5</vt:i4>
      </vt:variant>
      <vt:variant>
        <vt:lpwstr/>
      </vt:variant>
      <vt:variant>
        <vt:lpwstr>Figure_1</vt:lpwstr>
      </vt:variant>
      <vt:variant>
        <vt:i4>4849708</vt:i4>
      </vt:variant>
      <vt:variant>
        <vt:i4>102</vt:i4>
      </vt:variant>
      <vt:variant>
        <vt:i4>0</vt:i4>
      </vt:variant>
      <vt:variant>
        <vt:i4>5</vt:i4>
      </vt:variant>
      <vt:variant>
        <vt:lpwstr/>
      </vt:variant>
      <vt:variant>
        <vt:lpwstr>Figure_3</vt:lpwstr>
      </vt:variant>
      <vt:variant>
        <vt:i4>4259884</vt:i4>
      </vt:variant>
      <vt:variant>
        <vt:i4>99</vt:i4>
      </vt:variant>
      <vt:variant>
        <vt:i4>0</vt:i4>
      </vt:variant>
      <vt:variant>
        <vt:i4>5</vt:i4>
      </vt:variant>
      <vt:variant>
        <vt:lpwstr/>
      </vt:variant>
      <vt:variant>
        <vt:lpwstr>Figure_8</vt:lpwstr>
      </vt:variant>
      <vt:variant>
        <vt:i4>4718636</vt:i4>
      </vt:variant>
      <vt:variant>
        <vt:i4>96</vt:i4>
      </vt:variant>
      <vt:variant>
        <vt:i4>0</vt:i4>
      </vt:variant>
      <vt:variant>
        <vt:i4>5</vt:i4>
      </vt:variant>
      <vt:variant>
        <vt:lpwstr/>
      </vt:variant>
      <vt:variant>
        <vt:lpwstr>Figure_1</vt:lpwstr>
      </vt:variant>
      <vt:variant>
        <vt:i4>4259884</vt:i4>
      </vt:variant>
      <vt:variant>
        <vt:i4>93</vt:i4>
      </vt:variant>
      <vt:variant>
        <vt:i4>0</vt:i4>
      </vt:variant>
      <vt:variant>
        <vt:i4>5</vt:i4>
      </vt:variant>
      <vt:variant>
        <vt:lpwstr/>
      </vt:variant>
      <vt:variant>
        <vt:lpwstr>Figure_8</vt:lpwstr>
      </vt:variant>
      <vt:variant>
        <vt:i4>4849708</vt:i4>
      </vt:variant>
      <vt:variant>
        <vt:i4>90</vt:i4>
      </vt:variant>
      <vt:variant>
        <vt:i4>0</vt:i4>
      </vt:variant>
      <vt:variant>
        <vt:i4>5</vt:i4>
      </vt:variant>
      <vt:variant>
        <vt:lpwstr/>
      </vt:variant>
      <vt:variant>
        <vt:lpwstr>Figure_3</vt:lpwstr>
      </vt:variant>
      <vt:variant>
        <vt:i4>4718636</vt:i4>
      </vt:variant>
      <vt:variant>
        <vt:i4>87</vt:i4>
      </vt:variant>
      <vt:variant>
        <vt:i4>0</vt:i4>
      </vt:variant>
      <vt:variant>
        <vt:i4>5</vt:i4>
      </vt:variant>
      <vt:variant>
        <vt:lpwstr/>
      </vt:variant>
      <vt:variant>
        <vt:lpwstr>Figure_1</vt:lpwstr>
      </vt:variant>
      <vt:variant>
        <vt:i4>5111852</vt:i4>
      </vt:variant>
      <vt:variant>
        <vt:i4>84</vt:i4>
      </vt:variant>
      <vt:variant>
        <vt:i4>0</vt:i4>
      </vt:variant>
      <vt:variant>
        <vt:i4>5</vt:i4>
      </vt:variant>
      <vt:variant>
        <vt:lpwstr/>
      </vt:variant>
      <vt:variant>
        <vt:lpwstr>Figure_7</vt:lpwstr>
      </vt:variant>
      <vt:variant>
        <vt:i4>5046316</vt:i4>
      </vt:variant>
      <vt:variant>
        <vt:i4>81</vt:i4>
      </vt:variant>
      <vt:variant>
        <vt:i4>0</vt:i4>
      </vt:variant>
      <vt:variant>
        <vt:i4>5</vt:i4>
      </vt:variant>
      <vt:variant>
        <vt:lpwstr/>
      </vt:variant>
      <vt:variant>
        <vt:lpwstr>Figure_4</vt:lpwstr>
      </vt:variant>
      <vt:variant>
        <vt:i4>5046316</vt:i4>
      </vt:variant>
      <vt:variant>
        <vt:i4>78</vt:i4>
      </vt:variant>
      <vt:variant>
        <vt:i4>0</vt:i4>
      </vt:variant>
      <vt:variant>
        <vt:i4>5</vt:i4>
      </vt:variant>
      <vt:variant>
        <vt:lpwstr/>
      </vt:variant>
      <vt:variant>
        <vt:lpwstr>Figure_4</vt:lpwstr>
      </vt:variant>
      <vt:variant>
        <vt:i4>5111852</vt:i4>
      </vt:variant>
      <vt:variant>
        <vt:i4>75</vt:i4>
      </vt:variant>
      <vt:variant>
        <vt:i4>0</vt:i4>
      </vt:variant>
      <vt:variant>
        <vt:i4>5</vt:i4>
      </vt:variant>
      <vt:variant>
        <vt:lpwstr/>
      </vt:variant>
      <vt:variant>
        <vt:lpwstr>Figure_7</vt:lpwstr>
      </vt:variant>
      <vt:variant>
        <vt:i4>4718636</vt:i4>
      </vt:variant>
      <vt:variant>
        <vt:i4>72</vt:i4>
      </vt:variant>
      <vt:variant>
        <vt:i4>0</vt:i4>
      </vt:variant>
      <vt:variant>
        <vt:i4>5</vt:i4>
      </vt:variant>
      <vt:variant>
        <vt:lpwstr/>
      </vt:variant>
      <vt:variant>
        <vt:lpwstr>Figure_1</vt:lpwstr>
      </vt:variant>
      <vt:variant>
        <vt:i4>5046316</vt:i4>
      </vt:variant>
      <vt:variant>
        <vt:i4>69</vt:i4>
      </vt:variant>
      <vt:variant>
        <vt:i4>0</vt:i4>
      </vt:variant>
      <vt:variant>
        <vt:i4>5</vt:i4>
      </vt:variant>
      <vt:variant>
        <vt:lpwstr/>
      </vt:variant>
      <vt:variant>
        <vt:lpwstr>Figure_4</vt:lpwstr>
      </vt:variant>
      <vt:variant>
        <vt:i4>5111852</vt:i4>
      </vt:variant>
      <vt:variant>
        <vt:i4>66</vt:i4>
      </vt:variant>
      <vt:variant>
        <vt:i4>0</vt:i4>
      </vt:variant>
      <vt:variant>
        <vt:i4>5</vt:i4>
      </vt:variant>
      <vt:variant>
        <vt:lpwstr/>
      </vt:variant>
      <vt:variant>
        <vt:lpwstr>Figure_7</vt:lpwstr>
      </vt:variant>
      <vt:variant>
        <vt:i4>4718636</vt:i4>
      </vt:variant>
      <vt:variant>
        <vt:i4>63</vt:i4>
      </vt:variant>
      <vt:variant>
        <vt:i4>0</vt:i4>
      </vt:variant>
      <vt:variant>
        <vt:i4>5</vt:i4>
      </vt:variant>
      <vt:variant>
        <vt:lpwstr/>
      </vt:variant>
      <vt:variant>
        <vt:lpwstr>Figure_1</vt:lpwstr>
      </vt:variant>
      <vt:variant>
        <vt:i4>5111844</vt:i4>
      </vt:variant>
      <vt:variant>
        <vt:i4>60</vt:i4>
      </vt:variant>
      <vt:variant>
        <vt:i4>0</vt:i4>
      </vt:variant>
      <vt:variant>
        <vt:i4>5</vt:i4>
      </vt:variant>
      <vt:variant>
        <vt:lpwstr>Geology_Vulcan.doc</vt:lpwstr>
      </vt:variant>
      <vt:variant>
        <vt:lpwstr/>
      </vt:variant>
      <vt:variant>
        <vt:i4>4718636</vt:i4>
      </vt:variant>
      <vt:variant>
        <vt:i4>57</vt:i4>
      </vt:variant>
      <vt:variant>
        <vt:i4>0</vt:i4>
      </vt:variant>
      <vt:variant>
        <vt:i4>5</vt:i4>
      </vt:variant>
      <vt:variant>
        <vt:lpwstr/>
      </vt:variant>
      <vt:variant>
        <vt:lpwstr>Figure_1</vt:lpwstr>
      </vt:variant>
      <vt:variant>
        <vt:i4>4980780</vt:i4>
      </vt:variant>
      <vt:variant>
        <vt:i4>54</vt:i4>
      </vt:variant>
      <vt:variant>
        <vt:i4>0</vt:i4>
      </vt:variant>
      <vt:variant>
        <vt:i4>5</vt:i4>
      </vt:variant>
      <vt:variant>
        <vt:lpwstr/>
      </vt:variant>
      <vt:variant>
        <vt:lpwstr>Figure_5</vt:lpwstr>
      </vt:variant>
      <vt:variant>
        <vt:i4>5046316</vt:i4>
      </vt:variant>
      <vt:variant>
        <vt:i4>51</vt:i4>
      </vt:variant>
      <vt:variant>
        <vt:i4>0</vt:i4>
      </vt:variant>
      <vt:variant>
        <vt:i4>5</vt:i4>
      </vt:variant>
      <vt:variant>
        <vt:lpwstr/>
      </vt:variant>
      <vt:variant>
        <vt:lpwstr>Figure_4</vt:lpwstr>
      </vt:variant>
      <vt:variant>
        <vt:i4>5177388</vt:i4>
      </vt:variant>
      <vt:variant>
        <vt:i4>48</vt:i4>
      </vt:variant>
      <vt:variant>
        <vt:i4>0</vt:i4>
      </vt:variant>
      <vt:variant>
        <vt:i4>5</vt:i4>
      </vt:variant>
      <vt:variant>
        <vt:lpwstr/>
      </vt:variant>
      <vt:variant>
        <vt:lpwstr>Figure_6</vt:lpwstr>
      </vt:variant>
      <vt:variant>
        <vt:i4>4718636</vt:i4>
      </vt:variant>
      <vt:variant>
        <vt:i4>45</vt:i4>
      </vt:variant>
      <vt:variant>
        <vt:i4>0</vt:i4>
      </vt:variant>
      <vt:variant>
        <vt:i4>5</vt:i4>
      </vt:variant>
      <vt:variant>
        <vt:lpwstr/>
      </vt:variant>
      <vt:variant>
        <vt:lpwstr>Figure_1</vt:lpwstr>
      </vt:variant>
      <vt:variant>
        <vt:i4>65602</vt:i4>
      </vt:variant>
      <vt:variant>
        <vt:i4>42</vt:i4>
      </vt:variant>
      <vt:variant>
        <vt:i4>0</vt:i4>
      </vt:variant>
      <vt:variant>
        <vt:i4>5</vt:i4>
      </vt:variant>
      <vt:variant>
        <vt:lpwstr>Geology_Southern_Petrel.doc</vt:lpwstr>
      </vt:variant>
      <vt:variant>
        <vt:lpwstr/>
      </vt:variant>
      <vt:variant>
        <vt:i4>4718636</vt:i4>
      </vt:variant>
      <vt:variant>
        <vt:i4>39</vt:i4>
      </vt:variant>
      <vt:variant>
        <vt:i4>0</vt:i4>
      </vt:variant>
      <vt:variant>
        <vt:i4>5</vt:i4>
      </vt:variant>
      <vt:variant>
        <vt:lpwstr/>
      </vt:variant>
      <vt:variant>
        <vt:lpwstr>Figure_1</vt:lpwstr>
      </vt:variant>
      <vt:variant>
        <vt:i4>4980780</vt:i4>
      </vt:variant>
      <vt:variant>
        <vt:i4>36</vt:i4>
      </vt:variant>
      <vt:variant>
        <vt:i4>0</vt:i4>
      </vt:variant>
      <vt:variant>
        <vt:i4>5</vt:i4>
      </vt:variant>
      <vt:variant>
        <vt:lpwstr/>
      </vt:variant>
      <vt:variant>
        <vt:lpwstr>Figure_5</vt:lpwstr>
      </vt:variant>
      <vt:variant>
        <vt:i4>5046316</vt:i4>
      </vt:variant>
      <vt:variant>
        <vt:i4>33</vt:i4>
      </vt:variant>
      <vt:variant>
        <vt:i4>0</vt:i4>
      </vt:variant>
      <vt:variant>
        <vt:i4>5</vt:i4>
      </vt:variant>
      <vt:variant>
        <vt:lpwstr/>
      </vt:variant>
      <vt:variant>
        <vt:lpwstr>Figure_4</vt:lpwstr>
      </vt:variant>
      <vt:variant>
        <vt:i4>4718636</vt:i4>
      </vt:variant>
      <vt:variant>
        <vt:i4>30</vt:i4>
      </vt:variant>
      <vt:variant>
        <vt:i4>0</vt:i4>
      </vt:variant>
      <vt:variant>
        <vt:i4>5</vt:i4>
      </vt:variant>
      <vt:variant>
        <vt:lpwstr/>
      </vt:variant>
      <vt:variant>
        <vt:lpwstr>Figure_1</vt:lpwstr>
      </vt:variant>
      <vt:variant>
        <vt:i4>4194348</vt:i4>
      </vt:variant>
      <vt:variant>
        <vt:i4>27</vt:i4>
      </vt:variant>
      <vt:variant>
        <vt:i4>0</vt:i4>
      </vt:variant>
      <vt:variant>
        <vt:i4>5</vt:i4>
      </vt:variant>
      <vt:variant>
        <vt:lpwstr/>
      </vt:variant>
      <vt:variant>
        <vt:lpwstr>Figure_9</vt:lpwstr>
      </vt:variant>
      <vt:variant>
        <vt:i4>4259884</vt:i4>
      </vt:variant>
      <vt:variant>
        <vt:i4>24</vt:i4>
      </vt:variant>
      <vt:variant>
        <vt:i4>0</vt:i4>
      </vt:variant>
      <vt:variant>
        <vt:i4>5</vt:i4>
      </vt:variant>
      <vt:variant>
        <vt:lpwstr/>
      </vt:variant>
      <vt:variant>
        <vt:lpwstr>Figure_8</vt:lpwstr>
      </vt:variant>
      <vt:variant>
        <vt:i4>5111852</vt:i4>
      </vt:variant>
      <vt:variant>
        <vt:i4>21</vt:i4>
      </vt:variant>
      <vt:variant>
        <vt:i4>0</vt:i4>
      </vt:variant>
      <vt:variant>
        <vt:i4>5</vt:i4>
      </vt:variant>
      <vt:variant>
        <vt:lpwstr/>
      </vt:variant>
      <vt:variant>
        <vt:lpwstr>Figure_7</vt:lpwstr>
      </vt:variant>
      <vt:variant>
        <vt:i4>5177388</vt:i4>
      </vt:variant>
      <vt:variant>
        <vt:i4>18</vt:i4>
      </vt:variant>
      <vt:variant>
        <vt:i4>0</vt:i4>
      </vt:variant>
      <vt:variant>
        <vt:i4>5</vt:i4>
      </vt:variant>
      <vt:variant>
        <vt:lpwstr/>
      </vt:variant>
      <vt:variant>
        <vt:lpwstr>Figure_6</vt:lpwstr>
      </vt:variant>
      <vt:variant>
        <vt:i4>4718636</vt:i4>
      </vt:variant>
      <vt:variant>
        <vt:i4>15</vt:i4>
      </vt:variant>
      <vt:variant>
        <vt:i4>0</vt:i4>
      </vt:variant>
      <vt:variant>
        <vt:i4>5</vt:i4>
      </vt:variant>
      <vt:variant>
        <vt:lpwstr/>
      </vt:variant>
      <vt:variant>
        <vt:lpwstr>Figure_1</vt:lpwstr>
      </vt:variant>
      <vt:variant>
        <vt:i4>4980780</vt:i4>
      </vt:variant>
      <vt:variant>
        <vt:i4>12</vt:i4>
      </vt:variant>
      <vt:variant>
        <vt:i4>0</vt:i4>
      </vt:variant>
      <vt:variant>
        <vt:i4>5</vt:i4>
      </vt:variant>
      <vt:variant>
        <vt:lpwstr/>
      </vt:variant>
      <vt:variant>
        <vt:lpwstr>Figure_5</vt:lpwstr>
      </vt:variant>
      <vt:variant>
        <vt:i4>5046316</vt:i4>
      </vt:variant>
      <vt:variant>
        <vt:i4>9</vt:i4>
      </vt:variant>
      <vt:variant>
        <vt:i4>0</vt:i4>
      </vt:variant>
      <vt:variant>
        <vt:i4>5</vt:i4>
      </vt:variant>
      <vt:variant>
        <vt:lpwstr/>
      </vt:variant>
      <vt:variant>
        <vt:lpwstr>Figure_4</vt:lpwstr>
      </vt:variant>
      <vt:variant>
        <vt:i4>4849708</vt:i4>
      </vt:variant>
      <vt:variant>
        <vt:i4>6</vt:i4>
      </vt:variant>
      <vt:variant>
        <vt:i4>0</vt:i4>
      </vt:variant>
      <vt:variant>
        <vt:i4>5</vt:i4>
      </vt:variant>
      <vt:variant>
        <vt:lpwstr/>
      </vt:variant>
      <vt:variant>
        <vt:lpwstr>Figure_3</vt:lpwstr>
      </vt:variant>
      <vt:variant>
        <vt:i4>4915244</vt:i4>
      </vt:variant>
      <vt:variant>
        <vt:i4>3</vt:i4>
      </vt:variant>
      <vt:variant>
        <vt:i4>0</vt:i4>
      </vt:variant>
      <vt:variant>
        <vt:i4>5</vt:i4>
      </vt:variant>
      <vt:variant>
        <vt:lpwstr/>
      </vt:variant>
      <vt:variant>
        <vt:lpwstr>Figure_2</vt:lpwstr>
      </vt:variant>
      <vt:variant>
        <vt:i4>4718636</vt:i4>
      </vt:variant>
      <vt:variant>
        <vt:i4>0</vt:i4>
      </vt:variant>
      <vt:variant>
        <vt:i4>0</vt:i4>
      </vt:variant>
      <vt:variant>
        <vt:i4>5</vt:i4>
      </vt:variant>
      <vt:variant>
        <vt:lpwstr/>
      </vt:variant>
      <vt:variant>
        <vt:lpwstr>Figure_1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1</dc:title>
  <dc:creator>Geoscience Australia</dc:creator>
  <cp:lastModifiedBy>Owens Ryan</cp:lastModifiedBy>
  <cp:revision>6</cp:revision>
  <cp:lastPrinted>2013-10-24T03:20:00Z</cp:lastPrinted>
  <dcterms:created xsi:type="dcterms:W3CDTF">2020-08-10T03:55:00Z</dcterms:created>
  <dcterms:modified xsi:type="dcterms:W3CDTF">2020-08-13T10:45:00Z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